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766A6" w14:textId="77777777" w:rsidR="004C3D3B" w:rsidRPr="00820D16" w:rsidRDefault="004C3D3B" w:rsidP="004C3D3B">
      <w:pPr>
        <w:jc w:val="right"/>
        <w:rPr>
          <w:rFonts w:ascii="CarolinaBar-B39-25F2" w:hAnsi="CarolinaBar-B39-25F2"/>
        </w:rPr>
      </w:pPr>
      <w:r>
        <w:rPr>
          <w:rFonts w:ascii="IDAutomationC93M" w:hAnsi="IDAutomationC93M"/>
        </w:rPr>
        <w:fldChar w:fldCharType="begin">
          <w:ffData>
            <w:name w:val="JedinstvenaOznaka"/>
            <w:enabled/>
            <w:calcOnExit w:val="0"/>
            <w:textInput/>
          </w:ffData>
        </w:fldChar>
      </w:r>
      <w:bookmarkStart w:id="0" w:name="JedinstvenaOznaka"/>
      <w:r>
        <w:rPr>
          <w:rFonts w:ascii="IDAutomationC93M" w:hAnsi="IDAutomationC93M"/>
        </w:rPr>
        <w:instrText xml:space="preserve"> FORMTEXT </w:instrText>
      </w:r>
      <w:r>
        <w:rPr>
          <w:rFonts w:ascii="IDAutomationC93M" w:hAnsi="IDAutomationC93M"/>
        </w:rPr>
      </w:r>
      <w:r>
        <w:rPr>
          <w:rFonts w:ascii="IDAutomationC93M" w:hAnsi="IDAutomationC93M"/>
        </w:rPr>
        <w:fldChar w:fldCharType="separate"/>
      </w:r>
      <w:r>
        <w:rPr>
          <w:rFonts w:ascii="IDAutomationC93M" w:hAnsi="IDAutomationC93M"/>
        </w:rPr>
        <w:t>(530#Q40001240116#Q3U0)</w:t>
      </w:r>
      <w:r>
        <w:rPr>
          <w:rFonts w:ascii="IDAutomationC93M" w:hAnsi="IDAutomationC93M"/>
        </w:rPr>
        <w:fldChar w:fldCharType="end"/>
      </w:r>
      <w:bookmarkEnd w:id="0"/>
    </w:p>
    <w:p w14:paraId="2D79E31F" w14:textId="77777777" w:rsidR="004C3D3B" w:rsidRDefault="004C3D3B" w:rsidP="004C3D3B">
      <w:pPr>
        <w:jc w:val="right"/>
        <w:rPr>
          <w:b/>
        </w:rPr>
      </w:pPr>
    </w:p>
    <w:p w14:paraId="380AD68F" w14:textId="77777777" w:rsidR="004C3D3B" w:rsidRPr="007152B2" w:rsidRDefault="004C3D3B" w:rsidP="004C3D3B">
      <w:pPr>
        <w:jc w:val="right"/>
        <w:rPr>
          <w:color w:val="000000"/>
          <w:sz w:val="22"/>
          <w:szCs w:val="22"/>
        </w:rPr>
      </w:pPr>
      <w:r w:rsidRPr="00820D16">
        <w:rPr>
          <w:szCs w:val="32"/>
        </w:rPr>
        <w:t>P/</w:t>
      </w:r>
      <w:r>
        <w:rPr>
          <w:szCs w:val="32"/>
        </w:rPr>
        <w:fldChar w:fldCharType="begin">
          <w:ffData>
            <w:name w:val="Jop"/>
            <w:enabled/>
            <w:calcOnExit w:val="0"/>
            <w:textInput/>
          </w:ffData>
        </w:fldChar>
      </w:r>
      <w:bookmarkStart w:id="1" w:name="Jop"/>
      <w:r>
        <w:rPr>
          <w:szCs w:val="32"/>
        </w:rPr>
        <w:instrText xml:space="preserve"> FORMTEXT </w:instrText>
      </w:r>
      <w:r>
        <w:rPr>
          <w:szCs w:val="32"/>
        </w:rPr>
      </w:r>
      <w:r>
        <w:rPr>
          <w:szCs w:val="32"/>
        </w:rPr>
        <w:fldChar w:fldCharType="separate"/>
      </w:r>
      <w:r>
        <w:rPr>
          <w:szCs w:val="32"/>
        </w:rPr>
        <w:t>9510936</w:t>
      </w:r>
      <w:r>
        <w:rPr>
          <w:szCs w:val="32"/>
        </w:rPr>
        <w:fldChar w:fldCharType="end"/>
      </w:r>
      <w:bookmarkEnd w:id="1"/>
    </w:p>
    <w:p w14:paraId="02D25A75" w14:textId="0C6AAD80" w:rsidR="003409EF" w:rsidRDefault="003409EF" w:rsidP="003409EF">
      <w:pPr>
        <w:jc w:val="right"/>
        <w:rPr>
          <w:color w:val="000000"/>
          <w:sz w:val="22"/>
          <w:szCs w:val="22"/>
        </w:rPr>
      </w:pPr>
    </w:p>
    <w:p w14:paraId="738ED054" w14:textId="77777777" w:rsidR="009170A8" w:rsidRPr="00EA2C17" w:rsidRDefault="009170A8" w:rsidP="003409EF">
      <w:pPr>
        <w:jc w:val="right"/>
        <w:rPr>
          <w:color w:val="000000"/>
          <w:sz w:val="22"/>
          <w:szCs w:val="22"/>
        </w:rPr>
      </w:pPr>
    </w:p>
    <w:tbl>
      <w:tblPr>
        <w:tblW w:w="5000" w:type="pct"/>
        <w:jc w:val="center"/>
        <w:tblLook w:val="04A0" w:firstRow="1" w:lastRow="0" w:firstColumn="1" w:lastColumn="0" w:noHBand="0" w:noVBand="1"/>
      </w:tblPr>
      <w:tblGrid>
        <w:gridCol w:w="9333"/>
      </w:tblGrid>
      <w:tr w:rsidR="003409EF" w:rsidRPr="00ED59BF" w14:paraId="1962A0B1" w14:textId="77777777" w:rsidTr="00CD5F60">
        <w:trPr>
          <w:trHeight w:val="2880"/>
          <w:jc w:val="center"/>
        </w:trPr>
        <w:tc>
          <w:tcPr>
            <w:tcW w:w="5000" w:type="pct"/>
          </w:tcPr>
          <w:p w14:paraId="5AE4DF98" w14:textId="77777777" w:rsidR="003409EF" w:rsidRPr="00106158" w:rsidRDefault="003409EF" w:rsidP="00CD5F60">
            <w:pPr>
              <w:pStyle w:val="Bezproreda"/>
              <w:jc w:val="center"/>
              <w:rPr>
                <w:rFonts w:ascii="Cambria" w:hAnsi="Cambria"/>
                <w:caps/>
                <w:sz w:val="28"/>
                <w:szCs w:val="28"/>
                <w:lang w:val="hr-HR"/>
              </w:rPr>
            </w:pPr>
            <w:r w:rsidRPr="00106158">
              <w:rPr>
                <w:sz w:val="28"/>
                <w:szCs w:val="28"/>
                <w:lang w:val="hr-HR"/>
              </w:rPr>
              <w:t>MINISTARSTVO MORA, PROMETA I INFRASTRUKTURE</w:t>
            </w:r>
          </w:p>
        </w:tc>
      </w:tr>
      <w:tr w:rsidR="003409EF" w:rsidRPr="00ED59BF" w14:paraId="457F7A76" w14:textId="77777777" w:rsidTr="00CD5F60">
        <w:trPr>
          <w:trHeight w:val="1440"/>
          <w:jc w:val="center"/>
        </w:trPr>
        <w:tc>
          <w:tcPr>
            <w:tcW w:w="5000" w:type="pct"/>
            <w:tcBorders>
              <w:bottom w:val="single" w:sz="4" w:space="0" w:color="4F81BD"/>
            </w:tcBorders>
            <w:vAlign w:val="center"/>
          </w:tcPr>
          <w:p w14:paraId="77BB61F1" w14:textId="77777777" w:rsidR="003409EF" w:rsidRDefault="003409EF" w:rsidP="00CD5F60">
            <w:pPr>
              <w:pStyle w:val="Bezproreda"/>
              <w:rPr>
                <w:sz w:val="44"/>
                <w:szCs w:val="44"/>
                <w:lang w:val="hr-HR"/>
              </w:rPr>
            </w:pPr>
          </w:p>
          <w:p w14:paraId="6AA94ADE" w14:textId="77777777" w:rsidR="003409EF" w:rsidRPr="00E3372D" w:rsidRDefault="003409EF" w:rsidP="00CD5F60">
            <w:pPr>
              <w:pStyle w:val="Bezproreda"/>
              <w:rPr>
                <w:sz w:val="44"/>
                <w:szCs w:val="44"/>
                <w:lang w:val="hr-HR"/>
              </w:rPr>
            </w:pPr>
          </w:p>
          <w:p w14:paraId="7BAA0B46" w14:textId="68BCA19D" w:rsidR="003409EF" w:rsidRPr="00841DBB" w:rsidRDefault="00B9050A" w:rsidP="00B9050A">
            <w:pPr>
              <w:pStyle w:val="Bezproreda"/>
              <w:jc w:val="center"/>
              <w:rPr>
                <w:rFonts w:ascii="Cambria" w:hAnsi="Cambria"/>
                <w:sz w:val="48"/>
                <w:szCs w:val="48"/>
              </w:rPr>
            </w:pPr>
            <w:r>
              <w:rPr>
                <w:sz w:val="48"/>
                <w:szCs w:val="48"/>
              </w:rPr>
              <w:t>GODIŠNJI IZVJEŠTAJ O RADU</w:t>
            </w:r>
          </w:p>
        </w:tc>
      </w:tr>
      <w:tr w:rsidR="003409EF" w14:paraId="2EDAC2FC" w14:textId="77777777" w:rsidTr="00CD5F60">
        <w:trPr>
          <w:trHeight w:val="720"/>
          <w:jc w:val="center"/>
        </w:trPr>
        <w:tc>
          <w:tcPr>
            <w:tcW w:w="5000" w:type="pct"/>
            <w:tcBorders>
              <w:top w:val="single" w:sz="4" w:space="0" w:color="4F81BD"/>
            </w:tcBorders>
            <w:vAlign w:val="center"/>
          </w:tcPr>
          <w:p w14:paraId="4689C86C" w14:textId="77777777" w:rsidR="003409EF" w:rsidRPr="00841DBB" w:rsidRDefault="003409EF" w:rsidP="00CD5F60">
            <w:pPr>
              <w:pStyle w:val="Bezproreda"/>
              <w:jc w:val="center"/>
              <w:rPr>
                <w:rFonts w:ascii="Cambria" w:hAnsi="Cambria"/>
                <w:sz w:val="40"/>
                <w:szCs w:val="40"/>
              </w:rPr>
            </w:pPr>
            <w:r>
              <w:rPr>
                <w:sz w:val="40"/>
                <w:szCs w:val="40"/>
              </w:rPr>
              <w:t>ZA 2025</w:t>
            </w:r>
            <w:r w:rsidRPr="00841DBB">
              <w:rPr>
                <w:sz w:val="40"/>
                <w:szCs w:val="40"/>
              </w:rPr>
              <w:t>. GODINU</w:t>
            </w:r>
          </w:p>
        </w:tc>
      </w:tr>
      <w:tr w:rsidR="003409EF" w14:paraId="042E77AA" w14:textId="77777777" w:rsidTr="00CD5F60">
        <w:trPr>
          <w:trHeight w:val="360"/>
          <w:jc w:val="center"/>
        </w:trPr>
        <w:tc>
          <w:tcPr>
            <w:tcW w:w="5000" w:type="pct"/>
            <w:vAlign w:val="center"/>
          </w:tcPr>
          <w:p w14:paraId="1976F8AB" w14:textId="77777777" w:rsidR="003409EF" w:rsidRDefault="003409EF" w:rsidP="00CD5F60">
            <w:pPr>
              <w:pStyle w:val="Bezproreda"/>
              <w:jc w:val="center"/>
            </w:pPr>
          </w:p>
        </w:tc>
      </w:tr>
      <w:tr w:rsidR="003409EF" w14:paraId="02269567" w14:textId="77777777" w:rsidTr="00CD5F60">
        <w:trPr>
          <w:trHeight w:val="360"/>
          <w:jc w:val="center"/>
        </w:trPr>
        <w:tc>
          <w:tcPr>
            <w:tcW w:w="5000" w:type="pct"/>
            <w:vAlign w:val="center"/>
          </w:tcPr>
          <w:p w14:paraId="05B16970" w14:textId="77777777" w:rsidR="003409EF" w:rsidRDefault="003409EF" w:rsidP="00CD5F60">
            <w:pPr>
              <w:pStyle w:val="Bezproreda"/>
              <w:jc w:val="center"/>
              <w:rPr>
                <w:b/>
                <w:bCs/>
              </w:rPr>
            </w:pPr>
          </w:p>
        </w:tc>
      </w:tr>
      <w:tr w:rsidR="003409EF" w14:paraId="7A4C2804" w14:textId="77777777" w:rsidTr="00CD5F60">
        <w:trPr>
          <w:trHeight w:val="360"/>
          <w:jc w:val="center"/>
        </w:trPr>
        <w:tc>
          <w:tcPr>
            <w:tcW w:w="5000" w:type="pct"/>
            <w:vAlign w:val="center"/>
          </w:tcPr>
          <w:p w14:paraId="1D3E4E3C" w14:textId="77777777" w:rsidR="003409EF" w:rsidRDefault="003409EF" w:rsidP="00CD5F60">
            <w:pPr>
              <w:pStyle w:val="Bezproreda"/>
              <w:jc w:val="center"/>
              <w:rPr>
                <w:b/>
                <w:bCs/>
              </w:rPr>
            </w:pPr>
          </w:p>
        </w:tc>
      </w:tr>
    </w:tbl>
    <w:p w14:paraId="56A81897" w14:textId="77777777" w:rsidR="003409EF" w:rsidRDefault="003409EF" w:rsidP="003409EF"/>
    <w:p w14:paraId="4CB40F21" w14:textId="1AB8B715" w:rsidR="003409EF" w:rsidRDefault="003409EF" w:rsidP="003409EF"/>
    <w:p w14:paraId="32B5359D" w14:textId="77777777" w:rsidR="003409EF" w:rsidRDefault="003409EF" w:rsidP="003409EF"/>
    <w:p w14:paraId="7DDC84C6" w14:textId="2891F894" w:rsidR="003409EF" w:rsidRDefault="003409EF" w:rsidP="003409EF"/>
    <w:p w14:paraId="0FDE8CF4" w14:textId="77777777" w:rsidR="003409EF" w:rsidRPr="00F12EEF" w:rsidRDefault="003409EF" w:rsidP="003409EF"/>
    <w:p w14:paraId="4CFCB367" w14:textId="77777777" w:rsidR="00D15D52" w:rsidRPr="00D15D52" w:rsidRDefault="00D15D52" w:rsidP="00D15D52">
      <w:pPr>
        <w:rPr>
          <w:color w:val="000000"/>
          <w:sz w:val="22"/>
          <w:szCs w:val="22"/>
        </w:rPr>
      </w:pPr>
      <w:r w:rsidRPr="00D15D52">
        <w:rPr>
          <w:color w:val="000000"/>
          <w:sz w:val="22"/>
          <w:szCs w:val="22"/>
        </w:rPr>
        <w:t>KLASA: 400-01/24-01/16</w:t>
      </w:r>
    </w:p>
    <w:p w14:paraId="17FC66EF" w14:textId="157B611E" w:rsidR="003409EF" w:rsidRDefault="00D15D52" w:rsidP="00D15D52">
      <w:pPr>
        <w:rPr>
          <w:color w:val="000000"/>
        </w:rPr>
      </w:pPr>
      <w:r w:rsidRPr="00D15D52">
        <w:rPr>
          <w:color w:val="000000"/>
          <w:sz w:val="22"/>
          <w:szCs w:val="22"/>
        </w:rPr>
        <w:t>URBROJ: 530-10-1-2-26-3</w:t>
      </w:r>
    </w:p>
    <w:p w14:paraId="7463CDCE" w14:textId="33DB5EA2" w:rsidR="009D650E" w:rsidRDefault="009D650E" w:rsidP="003409EF">
      <w:pPr>
        <w:rPr>
          <w:color w:val="000000"/>
        </w:rPr>
      </w:pPr>
    </w:p>
    <w:p w14:paraId="271B9B9B" w14:textId="11812AE8" w:rsidR="009D650E" w:rsidRDefault="009D650E" w:rsidP="003409EF">
      <w:pPr>
        <w:rPr>
          <w:color w:val="000000"/>
        </w:rPr>
      </w:pPr>
    </w:p>
    <w:p w14:paraId="4905A209" w14:textId="79C015D5" w:rsidR="003409EF" w:rsidRDefault="005A189B" w:rsidP="003409EF">
      <w:pPr>
        <w:ind w:left="5670"/>
        <w:jc w:val="center"/>
        <w:rPr>
          <w:b/>
          <w:color w:val="323130"/>
          <w:shd w:val="clear" w:color="auto" w:fill="FFFFFF"/>
        </w:rPr>
      </w:pPr>
      <w:r>
        <w:rPr>
          <w:b/>
          <w:color w:val="323130"/>
          <w:shd w:val="clear" w:color="auto" w:fill="FFFFFF"/>
        </w:rPr>
        <w:t xml:space="preserve">  POTPREDSJEDNIK VLADE I </w:t>
      </w:r>
      <w:r w:rsidR="003409EF" w:rsidRPr="007A1E31">
        <w:rPr>
          <w:b/>
          <w:color w:val="323130"/>
          <w:shd w:val="clear" w:color="auto" w:fill="FFFFFF"/>
        </w:rPr>
        <w:t>MINISTAR</w:t>
      </w:r>
    </w:p>
    <w:p w14:paraId="78260A7C" w14:textId="77777777" w:rsidR="003409EF" w:rsidRPr="007A1E31" w:rsidRDefault="003409EF" w:rsidP="003409EF">
      <w:pPr>
        <w:ind w:left="5670"/>
        <w:jc w:val="center"/>
        <w:rPr>
          <w:b/>
          <w:color w:val="000000"/>
        </w:rPr>
      </w:pPr>
    </w:p>
    <w:p w14:paraId="37A176B2" w14:textId="658317C5" w:rsidR="000B4EB8" w:rsidRDefault="003409EF" w:rsidP="0003349E">
      <w:pPr>
        <w:ind w:left="5670"/>
        <w:jc w:val="center"/>
        <w:rPr>
          <w:b/>
          <w:color w:val="000000"/>
        </w:rPr>
      </w:pPr>
      <w:r>
        <w:rPr>
          <w:b/>
          <w:color w:val="000000"/>
        </w:rPr>
        <w:t>Oleg Butković</w:t>
      </w:r>
      <w:bookmarkStart w:id="2" w:name="_Toc62805383"/>
      <w:bookmarkStart w:id="3" w:name="_Toc62805445"/>
    </w:p>
    <w:p w14:paraId="40BA790D" w14:textId="77777777" w:rsidR="000B4EB8" w:rsidRPr="000B4EB8" w:rsidRDefault="000B4EB8" w:rsidP="000B4EB8"/>
    <w:p w14:paraId="660FC86A" w14:textId="3A1C29C1" w:rsidR="000B4EB8" w:rsidRDefault="000B4EB8" w:rsidP="000B4EB8"/>
    <w:p w14:paraId="657AB1B2" w14:textId="2711649E" w:rsidR="00012B7C" w:rsidRDefault="00012B7C" w:rsidP="000B4EB8"/>
    <w:p w14:paraId="614DC31C" w14:textId="7F42EE79" w:rsidR="00012B7C" w:rsidRDefault="00012B7C" w:rsidP="000B4EB8"/>
    <w:p w14:paraId="45C387FA" w14:textId="79444A93" w:rsidR="00012B7C" w:rsidRDefault="00012B7C" w:rsidP="000B4EB8"/>
    <w:p w14:paraId="4BEDD18D" w14:textId="77777777" w:rsidR="00012B7C" w:rsidRPr="000B4EB8" w:rsidRDefault="00012B7C" w:rsidP="000B4EB8"/>
    <w:p w14:paraId="19ABA5EA" w14:textId="298DC218" w:rsidR="000B4EB8" w:rsidRDefault="000B4EB8" w:rsidP="000B4EB8">
      <w:pPr>
        <w:jc w:val="center"/>
      </w:pPr>
      <w:r w:rsidRPr="000B4EB8">
        <w:t>Siječanj 2026. godine</w:t>
      </w:r>
    </w:p>
    <w:p w14:paraId="3273619F" w14:textId="01B88DBD" w:rsidR="001F0A9A" w:rsidRPr="00012B7C" w:rsidRDefault="000B4EB8" w:rsidP="00012B7C">
      <w:pPr>
        <w:tabs>
          <w:tab w:val="left" w:pos="3975"/>
        </w:tabs>
      </w:pPr>
      <w:r>
        <w:tab/>
      </w:r>
    </w:p>
    <w:tbl>
      <w:tblPr>
        <w:tblpPr w:leftFromText="187" w:rightFromText="187" w:vertAnchor="page" w:horzAnchor="margin" w:tblpXSpec="center" w:tblpY="15196"/>
        <w:tblW w:w="5000" w:type="pct"/>
        <w:tblLook w:val="04A0" w:firstRow="1" w:lastRow="0" w:firstColumn="1" w:lastColumn="0" w:noHBand="0" w:noVBand="1"/>
      </w:tblPr>
      <w:tblGrid>
        <w:gridCol w:w="9333"/>
      </w:tblGrid>
      <w:tr w:rsidR="001F0A9A" w:rsidRPr="001F0A9A" w14:paraId="7273A5B7" w14:textId="77777777" w:rsidTr="00A920E6">
        <w:tc>
          <w:tcPr>
            <w:tcW w:w="5000" w:type="pct"/>
          </w:tcPr>
          <w:p w14:paraId="70A12E21" w14:textId="79910E74" w:rsidR="001F0A9A" w:rsidRPr="001F0A9A" w:rsidRDefault="001F0A9A" w:rsidP="001F0A9A">
            <w:pPr>
              <w:jc w:val="center"/>
            </w:pPr>
          </w:p>
        </w:tc>
      </w:tr>
    </w:tbl>
    <w:bookmarkEnd w:id="2"/>
    <w:bookmarkEnd w:id="3"/>
    <w:p w14:paraId="13D145ED" w14:textId="77777777" w:rsidR="00823030" w:rsidRPr="00957974" w:rsidRDefault="00823030" w:rsidP="00823030">
      <w:pPr>
        <w:rPr>
          <w:rFonts w:asciiTheme="minorHAnsi" w:hAnsiTheme="minorHAnsi" w:cstheme="minorHAnsi"/>
          <w:b/>
          <w:color w:val="1F4E79" w:themeColor="accent1" w:themeShade="80"/>
          <w:sz w:val="28"/>
        </w:rPr>
      </w:pPr>
      <w:r w:rsidRPr="00007756">
        <w:rPr>
          <w:rFonts w:asciiTheme="minorHAnsi" w:eastAsia="SimSun" w:hAnsiTheme="minorHAnsi" w:cstheme="minorHAnsi"/>
          <w:b/>
          <w:color w:val="1F4E79" w:themeColor="accent1" w:themeShade="80"/>
          <w:sz w:val="28"/>
          <w:lang w:eastAsia="zh-CN"/>
        </w:rPr>
        <w:t>Sadržaj</w:t>
      </w:r>
    </w:p>
    <w:sdt>
      <w:sdtPr>
        <w:rPr>
          <w:rFonts w:asciiTheme="minorHAnsi" w:hAnsiTheme="minorHAnsi" w:cstheme="minorHAnsi"/>
          <w:color w:val="auto"/>
          <w:sz w:val="24"/>
          <w:szCs w:val="24"/>
        </w:rPr>
        <w:id w:val="1024294355"/>
        <w:docPartObj>
          <w:docPartGallery w:val="Table of Contents"/>
          <w:docPartUnique/>
        </w:docPartObj>
      </w:sdtPr>
      <w:sdtEndPr>
        <w:rPr>
          <w:b/>
          <w:bCs/>
        </w:rPr>
      </w:sdtEndPr>
      <w:sdtContent>
        <w:p w14:paraId="5E743E88" w14:textId="6B6560F1" w:rsidR="00823030" w:rsidRPr="0054496F" w:rsidRDefault="0054496F" w:rsidP="004A049F">
          <w:pPr>
            <w:pStyle w:val="TOCNaslov"/>
            <w:spacing w:line="276" w:lineRule="auto"/>
            <w:rPr>
              <w:rFonts w:asciiTheme="minorHAnsi" w:hAnsiTheme="minorHAnsi" w:cstheme="minorHAnsi"/>
              <w:sz w:val="24"/>
              <w:szCs w:val="24"/>
            </w:rPr>
          </w:pPr>
          <w:r w:rsidRPr="0054496F">
            <w:rPr>
              <w:rFonts w:asciiTheme="minorHAnsi" w:hAnsiTheme="minorHAnsi" w:cstheme="minorHAnsi"/>
              <w:color w:val="auto"/>
              <w:sz w:val="24"/>
              <w:szCs w:val="24"/>
            </w:rPr>
            <w:t>Predgovor ministra mora, prometa i infrastrukture………………………………………….……………………….</w:t>
          </w:r>
          <w:r w:rsidR="00FF1747">
            <w:rPr>
              <w:rFonts w:asciiTheme="minorHAnsi" w:hAnsiTheme="minorHAnsi" w:cstheme="minorHAnsi"/>
              <w:webHidden/>
              <w:color w:val="auto"/>
              <w:sz w:val="24"/>
              <w:szCs w:val="24"/>
            </w:rPr>
            <w:t>3</w:t>
          </w:r>
        </w:p>
        <w:p w14:paraId="2B6C18AF" w14:textId="3651F73F" w:rsidR="0054496F" w:rsidRPr="00C552C7" w:rsidRDefault="00823030">
          <w:pPr>
            <w:pStyle w:val="Sadraj1"/>
            <w:tabs>
              <w:tab w:val="left" w:pos="440"/>
            </w:tabs>
            <w:rPr>
              <w:rFonts w:asciiTheme="minorHAnsi" w:eastAsiaTheme="minorEastAsia" w:hAnsiTheme="minorHAnsi" w:cstheme="minorHAnsi"/>
              <w:noProof/>
            </w:rPr>
          </w:pPr>
          <w:r w:rsidRPr="0054496F">
            <w:rPr>
              <w:rFonts w:asciiTheme="minorHAnsi" w:hAnsiTheme="minorHAnsi" w:cstheme="minorHAnsi"/>
            </w:rPr>
            <w:fldChar w:fldCharType="begin"/>
          </w:r>
          <w:r w:rsidRPr="0054496F">
            <w:rPr>
              <w:rFonts w:asciiTheme="minorHAnsi" w:hAnsiTheme="minorHAnsi" w:cstheme="minorHAnsi"/>
            </w:rPr>
            <w:instrText xml:space="preserve"> TOC \o "1-3" \h \z \u </w:instrText>
          </w:r>
          <w:r w:rsidRPr="0054496F">
            <w:rPr>
              <w:rFonts w:asciiTheme="minorHAnsi" w:hAnsiTheme="minorHAnsi" w:cstheme="minorHAnsi"/>
            </w:rPr>
            <w:fldChar w:fldCharType="separate"/>
          </w:r>
          <w:hyperlink w:anchor="_Toc221536522" w:history="1">
            <w:r w:rsidR="0054496F" w:rsidRPr="00C552C7">
              <w:rPr>
                <w:rStyle w:val="Hiperveza"/>
                <w:rFonts w:asciiTheme="minorHAnsi" w:hAnsiTheme="minorHAnsi" w:cstheme="minorHAnsi"/>
                <w:noProof/>
              </w:rPr>
              <w:t>1.</w:t>
            </w:r>
            <w:r w:rsidR="0054496F" w:rsidRPr="00C552C7">
              <w:rPr>
                <w:rFonts w:asciiTheme="minorHAnsi" w:eastAsiaTheme="minorEastAsia" w:hAnsiTheme="minorHAnsi" w:cstheme="minorHAnsi"/>
                <w:noProof/>
              </w:rPr>
              <w:tab/>
            </w:r>
            <w:r w:rsidR="0054496F" w:rsidRPr="00C552C7">
              <w:rPr>
                <w:rStyle w:val="Hiperveza"/>
                <w:rFonts w:asciiTheme="minorHAnsi" w:hAnsiTheme="minorHAnsi" w:cstheme="minorHAnsi"/>
                <w:noProof/>
              </w:rPr>
              <w:t>Kontekst</w:t>
            </w:r>
            <w:r w:rsidR="0054496F" w:rsidRPr="00C552C7">
              <w:rPr>
                <w:rFonts w:asciiTheme="minorHAnsi" w:hAnsiTheme="minorHAnsi" w:cstheme="minorHAnsi"/>
                <w:noProof/>
                <w:webHidden/>
              </w:rPr>
              <w:tab/>
            </w:r>
            <w:r w:rsidR="0054496F" w:rsidRPr="00C552C7">
              <w:rPr>
                <w:rFonts w:asciiTheme="minorHAnsi" w:hAnsiTheme="minorHAnsi" w:cstheme="minorHAnsi"/>
                <w:noProof/>
                <w:webHidden/>
              </w:rPr>
              <w:fldChar w:fldCharType="begin"/>
            </w:r>
            <w:r w:rsidR="0054496F" w:rsidRPr="00C552C7">
              <w:rPr>
                <w:rFonts w:asciiTheme="minorHAnsi" w:hAnsiTheme="minorHAnsi" w:cstheme="minorHAnsi"/>
                <w:noProof/>
                <w:webHidden/>
              </w:rPr>
              <w:instrText xml:space="preserve"> PAGEREF _Toc221536522 \h </w:instrText>
            </w:r>
            <w:r w:rsidR="0054496F" w:rsidRPr="00C552C7">
              <w:rPr>
                <w:rFonts w:asciiTheme="minorHAnsi" w:hAnsiTheme="minorHAnsi" w:cstheme="minorHAnsi"/>
                <w:noProof/>
                <w:webHidden/>
              </w:rPr>
            </w:r>
            <w:r w:rsidR="0054496F" w:rsidRPr="00C552C7">
              <w:rPr>
                <w:rFonts w:asciiTheme="minorHAnsi" w:hAnsiTheme="minorHAnsi" w:cstheme="minorHAnsi"/>
                <w:noProof/>
                <w:webHidden/>
              </w:rPr>
              <w:fldChar w:fldCharType="separate"/>
            </w:r>
            <w:r w:rsidR="00FF1747">
              <w:rPr>
                <w:rFonts w:asciiTheme="minorHAnsi" w:hAnsiTheme="minorHAnsi" w:cstheme="minorHAnsi"/>
                <w:noProof/>
                <w:webHidden/>
              </w:rPr>
              <w:t>5</w:t>
            </w:r>
            <w:r w:rsidR="0054496F" w:rsidRPr="00C552C7">
              <w:rPr>
                <w:rFonts w:asciiTheme="minorHAnsi" w:hAnsiTheme="minorHAnsi" w:cstheme="minorHAnsi"/>
                <w:noProof/>
                <w:webHidden/>
              </w:rPr>
              <w:fldChar w:fldCharType="end"/>
            </w:r>
          </w:hyperlink>
        </w:p>
        <w:p w14:paraId="6CFBCC3C" w14:textId="60ACB2D6" w:rsidR="0054496F" w:rsidRPr="00C552C7" w:rsidRDefault="0074387A">
          <w:pPr>
            <w:pStyle w:val="Sadraj2"/>
            <w:tabs>
              <w:tab w:val="left" w:pos="880"/>
              <w:tab w:val="right" w:leader="dot" w:pos="9323"/>
            </w:tabs>
            <w:rPr>
              <w:rFonts w:asciiTheme="minorHAnsi" w:eastAsiaTheme="minorEastAsia" w:hAnsiTheme="minorHAnsi" w:cstheme="minorHAnsi"/>
              <w:noProof/>
              <w:sz w:val="24"/>
              <w:szCs w:val="24"/>
            </w:rPr>
          </w:pPr>
          <w:hyperlink w:anchor="_Toc221536523" w:history="1">
            <w:r w:rsidR="0054496F" w:rsidRPr="00C552C7">
              <w:rPr>
                <w:rStyle w:val="Hiperveza"/>
                <w:rFonts w:asciiTheme="minorHAnsi" w:eastAsia="SimSun" w:hAnsiTheme="minorHAnsi" w:cstheme="minorHAnsi"/>
                <w:noProof/>
                <w:sz w:val="24"/>
                <w:szCs w:val="24"/>
              </w:rPr>
              <w:t>1.1.</w:t>
            </w:r>
            <w:r w:rsidR="0054496F" w:rsidRPr="00C552C7">
              <w:rPr>
                <w:rFonts w:asciiTheme="minorHAnsi" w:eastAsiaTheme="minorEastAsia" w:hAnsiTheme="minorHAnsi" w:cstheme="minorHAnsi"/>
                <w:noProof/>
                <w:sz w:val="24"/>
                <w:szCs w:val="24"/>
              </w:rPr>
              <w:tab/>
            </w:r>
            <w:r w:rsidR="0054496F" w:rsidRPr="00C552C7">
              <w:rPr>
                <w:rStyle w:val="Hiperveza"/>
                <w:rFonts w:asciiTheme="minorHAnsi" w:hAnsiTheme="minorHAnsi" w:cstheme="minorHAnsi"/>
                <w:noProof/>
                <w:sz w:val="24"/>
                <w:szCs w:val="24"/>
              </w:rPr>
              <w:t>PESTEL analiza</w:t>
            </w:r>
            <w:r w:rsidR="0054496F" w:rsidRPr="00C552C7">
              <w:rPr>
                <w:rFonts w:asciiTheme="minorHAnsi" w:hAnsiTheme="minorHAnsi" w:cstheme="minorHAnsi"/>
                <w:noProof/>
                <w:webHidden/>
                <w:sz w:val="24"/>
                <w:szCs w:val="24"/>
              </w:rPr>
              <w:tab/>
            </w:r>
            <w:r w:rsidR="0054496F" w:rsidRPr="00C552C7">
              <w:rPr>
                <w:rFonts w:asciiTheme="minorHAnsi" w:hAnsiTheme="minorHAnsi" w:cstheme="minorHAnsi"/>
                <w:noProof/>
                <w:webHidden/>
                <w:sz w:val="24"/>
                <w:szCs w:val="24"/>
              </w:rPr>
              <w:fldChar w:fldCharType="begin"/>
            </w:r>
            <w:r w:rsidR="0054496F" w:rsidRPr="00C552C7">
              <w:rPr>
                <w:rFonts w:asciiTheme="minorHAnsi" w:hAnsiTheme="minorHAnsi" w:cstheme="minorHAnsi"/>
                <w:noProof/>
                <w:webHidden/>
                <w:sz w:val="24"/>
                <w:szCs w:val="24"/>
              </w:rPr>
              <w:instrText xml:space="preserve"> PAGEREF _Toc221536523 \h </w:instrText>
            </w:r>
            <w:r w:rsidR="0054496F" w:rsidRPr="00C552C7">
              <w:rPr>
                <w:rFonts w:asciiTheme="minorHAnsi" w:hAnsiTheme="minorHAnsi" w:cstheme="minorHAnsi"/>
                <w:noProof/>
                <w:webHidden/>
                <w:sz w:val="24"/>
                <w:szCs w:val="24"/>
              </w:rPr>
            </w:r>
            <w:r w:rsidR="0054496F" w:rsidRPr="00C552C7">
              <w:rPr>
                <w:rFonts w:asciiTheme="minorHAnsi" w:hAnsiTheme="minorHAnsi" w:cstheme="minorHAnsi"/>
                <w:noProof/>
                <w:webHidden/>
                <w:sz w:val="24"/>
                <w:szCs w:val="24"/>
              </w:rPr>
              <w:fldChar w:fldCharType="separate"/>
            </w:r>
            <w:r w:rsidR="00FF1747">
              <w:rPr>
                <w:rFonts w:asciiTheme="minorHAnsi" w:hAnsiTheme="minorHAnsi" w:cstheme="minorHAnsi"/>
                <w:noProof/>
                <w:webHidden/>
                <w:sz w:val="24"/>
                <w:szCs w:val="24"/>
              </w:rPr>
              <w:t>5</w:t>
            </w:r>
            <w:r w:rsidR="0054496F" w:rsidRPr="00C552C7">
              <w:rPr>
                <w:rFonts w:asciiTheme="minorHAnsi" w:hAnsiTheme="minorHAnsi" w:cstheme="minorHAnsi"/>
                <w:noProof/>
                <w:webHidden/>
                <w:sz w:val="24"/>
                <w:szCs w:val="24"/>
              </w:rPr>
              <w:fldChar w:fldCharType="end"/>
            </w:r>
          </w:hyperlink>
        </w:p>
        <w:p w14:paraId="12D711C3" w14:textId="265E7997" w:rsidR="0054496F" w:rsidRPr="00C552C7" w:rsidRDefault="0074387A">
          <w:pPr>
            <w:pStyle w:val="Sadraj2"/>
            <w:tabs>
              <w:tab w:val="left" w:pos="880"/>
              <w:tab w:val="right" w:leader="dot" w:pos="9323"/>
            </w:tabs>
            <w:rPr>
              <w:rFonts w:asciiTheme="minorHAnsi" w:eastAsiaTheme="minorEastAsia" w:hAnsiTheme="minorHAnsi" w:cstheme="minorHAnsi"/>
              <w:noProof/>
              <w:sz w:val="24"/>
              <w:szCs w:val="24"/>
            </w:rPr>
          </w:pPr>
          <w:hyperlink w:anchor="_Toc221536524" w:history="1">
            <w:r w:rsidR="0054496F" w:rsidRPr="00C552C7">
              <w:rPr>
                <w:rStyle w:val="Hiperveza"/>
                <w:rFonts w:asciiTheme="minorHAnsi" w:eastAsia="SimSun" w:hAnsiTheme="minorHAnsi" w:cstheme="minorHAnsi"/>
                <w:noProof/>
                <w:sz w:val="24"/>
                <w:szCs w:val="24"/>
              </w:rPr>
              <w:t>1.2.</w:t>
            </w:r>
            <w:r w:rsidR="0054496F" w:rsidRPr="00C552C7">
              <w:rPr>
                <w:rFonts w:asciiTheme="minorHAnsi" w:eastAsiaTheme="minorEastAsia" w:hAnsiTheme="minorHAnsi" w:cstheme="minorHAnsi"/>
                <w:noProof/>
                <w:sz w:val="24"/>
                <w:szCs w:val="24"/>
              </w:rPr>
              <w:tab/>
            </w:r>
            <w:r w:rsidR="0054496F" w:rsidRPr="00C552C7">
              <w:rPr>
                <w:rStyle w:val="Hiperveza"/>
                <w:rFonts w:asciiTheme="minorHAnsi" w:hAnsiTheme="minorHAnsi" w:cstheme="minorHAnsi"/>
                <w:noProof/>
                <w:sz w:val="24"/>
                <w:szCs w:val="24"/>
              </w:rPr>
              <w:t>SWOT analiza</w:t>
            </w:r>
            <w:r w:rsidR="0054496F" w:rsidRPr="00C552C7">
              <w:rPr>
                <w:rFonts w:asciiTheme="minorHAnsi" w:hAnsiTheme="minorHAnsi" w:cstheme="minorHAnsi"/>
                <w:noProof/>
                <w:webHidden/>
                <w:sz w:val="24"/>
                <w:szCs w:val="24"/>
              </w:rPr>
              <w:tab/>
            </w:r>
            <w:r w:rsidR="0054496F" w:rsidRPr="00C552C7">
              <w:rPr>
                <w:rFonts w:asciiTheme="minorHAnsi" w:hAnsiTheme="minorHAnsi" w:cstheme="minorHAnsi"/>
                <w:noProof/>
                <w:webHidden/>
                <w:sz w:val="24"/>
                <w:szCs w:val="24"/>
              </w:rPr>
              <w:fldChar w:fldCharType="begin"/>
            </w:r>
            <w:r w:rsidR="0054496F" w:rsidRPr="00C552C7">
              <w:rPr>
                <w:rFonts w:asciiTheme="minorHAnsi" w:hAnsiTheme="minorHAnsi" w:cstheme="minorHAnsi"/>
                <w:noProof/>
                <w:webHidden/>
                <w:sz w:val="24"/>
                <w:szCs w:val="24"/>
              </w:rPr>
              <w:instrText xml:space="preserve"> PAGEREF _Toc221536524 \h </w:instrText>
            </w:r>
            <w:r w:rsidR="0054496F" w:rsidRPr="00C552C7">
              <w:rPr>
                <w:rFonts w:asciiTheme="minorHAnsi" w:hAnsiTheme="minorHAnsi" w:cstheme="minorHAnsi"/>
                <w:noProof/>
                <w:webHidden/>
                <w:sz w:val="24"/>
                <w:szCs w:val="24"/>
              </w:rPr>
            </w:r>
            <w:r w:rsidR="0054496F" w:rsidRPr="00C552C7">
              <w:rPr>
                <w:rFonts w:asciiTheme="minorHAnsi" w:hAnsiTheme="minorHAnsi" w:cstheme="minorHAnsi"/>
                <w:noProof/>
                <w:webHidden/>
                <w:sz w:val="24"/>
                <w:szCs w:val="24"/>
              </w:rPr>
              <w:fldChar w:fldCharType="separate"/>
            </w:r>
            <w:r w:rsidR="00FF1747">
              <w:rPr>
                <w:rFonts w:asciiTheme="minorHAnsi" w:hAnsiTheme="minorHAnsi" w:cstheme="minorHAnsi"/>
                <w:noProof/>
                <w:webHidden/>
                <w:sz w:val="24"/>
                <w:szCs w:val="24"/>
              </w:rPr>
              <w:t>6</w:t>
            </w:r>
            <w:r w:rsidR="0054496F" w:rsidRPr="00C552C7">
              <w:rPr>
                <w:rFonts w:asciiTheme="minorHAnsi" w:hAnsiTheme="minorHAnsi" w:cstheme="minorHAnsi"/>
                <w:noProof/>
                <w:webHidden/>
                <w:sz w:val="24"/>
                <w:szCs w:val="24"/>
              </w:rPr>
              <w:fldChar w:fldCharType="end"/>
            </w:r>
          </w:hyperlink>
        </w:p>
        <w:p w14:paraId="5FD111F9" w14:textId="27345972" w:rsidR="0054496F" w:rsidRPr="00C552C7" w:rsidRDefault="0074387A">
          <w:pPr>
            <w:pStyle w:val="Sadraj1"/>
            <w:tabs>
              <w:tab w:val="left" w:pos="440"/>
            </w:tabs>
            <w:rPr>
              <w:rFonts w:asciiTheme="minorHAnsi" w:eastAsiaTheme="minorEastAsia" w:hAnsiTheme="minorHAnsi" w:cstheme="minorHAnsi"/>
              <w:noProof/>
            </w:rPr>
          </w:pPr>
          <w:hyperlink w:anchor="_Toc221536525" w:history="1">
            <w:r w:rsidR="0054496F" w:rsidRPr="00C552C7">
              <w:rPr>
                <w:rStyle w:val="Hiperveza"/>
                <w:rFonts w:asciiTheme="minorHAnsi" w:eastAsia="SimSun" w:hAnsiTheme="minorHAnsi" w:cstheme="minorHAnsi"/>
                <w:bCs/>
                <w:noProof/>
                <w:lang w:eastAsia="zh-CN"/>
              </w:rPr>
              <w:t>2.</w:t>
            </w:r>
            <w:r w:rsidR="0054496F" w:rsidRPr="00C552C7">
              <w:rPr>
                <w:rFonts w:asciiTheme="minorHAnsi" w:eastAsiaTheme="minorEastAsia" w:hAnsiTheme="minorHAnsi" w:cstheme="minorHAnsi"/>
                <w:noProof/>
              </w:rPr>
              <w:tab/>
            </w:r>
            <w:r w:rsidR="0054496F" w:rsidRPr="00C552C7">
              <w:rPr>
                <w:rStyle w:val="Hiperveza"/>
                <w:rFonts w:asciiTheme="minorHAnsi" w:eastAsia="SimSun" w:hAnsiTheme="minorHAnsi" w:cstheme="minorHAnsi"/>
                <w:bCs/>
                <w:noProof/>
                <w:lang w:eastAsia="zh-CN"/>
              </w:rPr>
              <w:t>Organizacijska struktura i ljudski resursi po ustrojstvenim jedinicama</w:t>
            </w:r>
            <w:r w:rsidR="0054496F" w:rsidRPr="00C552C7">
              <w:rPr>
                <w:rFonts w:asciiTheme="minorHAnsi" w:hAnsiTheme="minorHAnsi" w:cstheme="minorHAnsi"/>
                <w:noProof/>
                <w:webHidden/>
              </w:rPr>
              <w:tab/>
            </w:r>
            <w:r w:rsidR="0054496F" w:rsidRPr="00C552C7">
              <w:rPr>
                <w:rFonts w:asciiTheme="minorHAnsi" w:hAnsiTheme="minorHAnsi" w:cstheme="minorHAnsi"/>
                <w:noProof/>
                <w:webHidden/>
              </w:rPr>
              <w:fldChar w:fldCharType="begin"/>
            </w:r>
            <w:r w:rsidR="0054496F" w:rsidRPr="00C552C7">
              <w:rPr>
                <w:rFonts w:asciiTheme="minorHAnsi" w:hAnsiTheme="minorHAnsi" w:cstheme="minorHAnsi"/>
                <w:noProof/>
                <w:webHidden/>
              </w:rPr>
              <w:instrText xml:space="preserve"> PAGEREF _Toc221536525 \h </w:instrText>
            </w:r>
            <w:r w:rsidR="0054496F" w:rsidRPr="00C552C7">
              <w:rPr>
                <w:rFonts w:asciiTheme="minorHAnsi" w:hAnsiTheme="minorHAnsi" w:cstheme="minorHAnsi"/>
                <w:noProof/>
                <w:webHidden/>
              </w:rPr>
            </w:r>
            <w:r w:rsidR="0054496F" w:rsidRPr="00C552C7">
              <w:rPr>
                <w:rFonts w:asciiTheme="minorHAnsi" w:hAnsiTheme="minorHAnsi" w:cstheme="minorHAnsi"/>
                <w:noProof/>
                <w:webHidden/>
              </w:rPr>
              <w:fldChar w:fldCharType="separate"/>
            </w:r>
            <w:r w:rsidR="00FF1747">
              <w:rPr>
                <w:rFonts w:asciiTheme="minorHAnsi" w:hAnsiTheme="minorHAnsi" w:cstheme="minorHAnsi"/>
                <w:noProof/>
                <w:webHidden/>
              </w:rPr>
              <w:t>8</w:t>
            </w:r>
            <w:r w:rsidR="0054496F" w:rsidRPr="00C552C7">
              <w:rPr>
                <w:rFonts w:asciiTheme="minorHAnsi" w:hAnsiTheme="minorHAnsi" w:cstheme="minorHAnsi"/>
                <w:noProof/>
                <w:webHidden/>
              </w:rPr>
              <w:fldChar w:fldCharType="end"/>
            </w:r>
          </w:hyperlink>
        </w:p>
        <w:p w14:paraId="72AB56C5" w14:textId="01759300" w:rsidR="0054496F" w:rsidRPr="0054496F" w:rsidRDefault="0074387A">
          <w:pPr>
            <w:pStyle w:val="Sadraj2"/>
            <w:tabs>
              <w:tab w:val="left" w:pos="880"/>
              <w:tab w:val="right" w:leader="dot" w:pos="9323"/>
            </w:tabs>
            <w:rPr>
              <w:rFonts w:asciiTheme="minorHAnsi" w:eastAsiaTheme="minorEastAsia" w:hAnsiTheme="minorHAnsi" w:cstheme="minorHAnsi"/>
              <w:noProof/>
              <w:sz w:val="24"/>
              <w:szCs w:val="24"/>
            </w:rPr>
          </w:pPr>
          <w:hyperlink w:anchor="_Toc221536526" w:history="1">
            <w:r w:rsidR="0054496F" w:rsidRPr="00C552C7">
              <w:rPr>
                <w:rStyle w:val="Hiperveza"/>
                <w:rFonts w:asciiTheme="minorHAnsi" w:eastAsia="SimSun" w:hAnsiTheme="minorHAnsi" w:cstheme="minorHAnsi"/>
                <w:noProof/>
                <w:sz w:val="24"/>
                <w:szCs w:val="24"/>
              </w:rPr>
              <w:t>2.1.</w:t>
            </w:r>
            <w:r w:rsidR="0054496F" w:rsidRPr="00C552C7">
              <w:rPr>
                <w:rFonts w:asciiTheme="minorHAnsi" w:eastAsiaTheme="minorEastAsia" w:hAnsiTheme="minorHAnsi" w:cstheme="minorHAnsi"/>
                <w:noProof/>
                <w:sz w:val="24"/>
                <w:szCs w:val="24"/>
              </w:rPr>
              <w:tab/>
            </w:r>
            <w:r w:rsidR="0054496F" w:rsidRPr="00C552C7">
              <w:rPr>
                <w:rStyle w:val="Hiperveza"/>
                <w:rFonts w:asciiTheme="minorHAnsi" w:hAnsiTheme="minorHAnsi" w:cstheme="minorHAnsi"/>
                <w:noProof/>
                <w:sz w:val="24"/>
                <w:szCs w:val="24"/>
              </w:rPr>
              <w:t>Organizacijska shema Ministarstva</w:t>
            </w:r>
            <w:r w:rsidR="0054496F" w:rsidRPr="00C552C7">
              <w:rPr>
                <w:rFonts w:asciiTheme="minorHAnsi" w:hAnsiTheme="minorHAnsi" w:cstheme="minorHAnsi"/>
                <w:noProof/>
                <w:webHidden/>
                <w:sz w:val="24"/>
                <w:szCs w:val="24"/>
              </w:rPr>
              <w:tab/>
            </w:r>
            <w:r w:rsidR="0054496F" w:rsidRPr="00C552C7">
              <w:rPr>
                <w:rFonts w:asciiTheme="minorHAnsi" w:hAnsiTheme="minorHAnsi" w:cstheme="minorHAnsi"/>
                <w:noProof/>
                <w:webHidden/>
                <w:sz w:val="24"/>
                <w:szCs w:val="24"/>
              </w:rPr>
              <w:fldChar w:fldCharType="begin"/>
            </w:r>
            <w:r w:rsidR="0054496F" w:rsidRPr="00C552C7">
              <w:rPr>
                <w:rFonts w:asciiTheme="minorHAnsi" w:hAnsiTheme="minorHAnsi" w:cstheme="minorHAnsi"/>
                <w:noProof/>
                <w:webHidden/>
                <w:sz w:val="24"/>
                <w:szCs w:val="24"/>
              </w:rPr>
              <w:instrText xml:space="preserve"> PAGEREF _Toc221536526 \h </w:instrText>
            </w:r>
            <w:r w:rsidR="0054496F" w:rsidRPr="00C552C7">
              <w:rPr>
                <w:rFonts w:asciiTheme="minorHAnsi" w:hAnsiTheme="minorHAnsi" w:cstheme="minorHAnsi"/>
                <w:noProof/>
                <w:webHidden/>
                <w:sz w:val="24"/>
                <w:szCs w:val="24"/>
              </w:rPr>
            </w:r>
            <w:r w:rsidR="0054496F" w:rsidRPr="00C552C7">
              <w:rPr>
                <w:rFonts w:asciiTheme="minorHAnsi" w:hAnsiTheme="minorHAnsi" w:cstheme="minorHAnsi"/>
                <w:noProof/>
                <w:webHidden/>
                <w:sz w:val="24"/>
                <w:szCs w:val="24"/>
              </w:rPr>
              <w:fldChar w:fldCharType="separate"/>
            </w:r>
            <w:r w:rsidR="00FF1747">
              <w:rPr>
                <w:rFonts w:asciiTheme="minorHAnsi" w:hAnsiTheme="minorHAnsi" w:cstheme="minorHAnsi"/>
                <w:noProof/>
                <w:webHidden/>
                <w:sz w:val="24"/>
                <w:szCs w:val="24"/>
              </w:rPr>
              <w:t>8</w:t>
            </w:r>
            <w:r w:rsidR="0054496F" w:rsidRPr="00C552C7">
              <w:rPr>
                <w:rFonts w:asciiTheme="minorHAnsi" w:hAnsiTheme="minorHAnsi" w:cstheme="minorHAnsi"/>
                <w:noProof/>
                <w:webHidden/>
                <w:sz w:val="24"/>
                <w:szCs w:val="24"/>
              </w:rPr>
              <w:fldChar w:fldCharType="end"/>
            </w:r>
          </w:hyperlink>
        </w:p>
        <w:p w14:paraId="322CB130" w14:textId="0BB02196" w:rsidR="0054496F" w:rsidRPr="0054496F" w:rsidRDefault="0074387A">
          <w:pPr>
            <w:pStyle w:val="Sadraj2"/>
            <w:tabs>
              <w:tab w:val="left" w:pos="880"/>
              <w:tab w:val="right" w:leader="dot" w:pos="9323"/>
            </w:tabs>
            <w:rPr>
              <w:rFonts w:asciiTheme="minorHAnsi" w:eastAsiaTheme="minorEastAsia" w:hAnsiTheme="minorHAnsi" w:cstheme="minorHAnsi"/>
              <w:noProof/>
              <w:sz w:val="24"/>
              <w:szCs w:val="24"/>
            </w:rPr>
          </w:pPr>
          <w:hyperlink w:anchor="_Toc221536527" w:history="1">
            <w:r w:rsidR="0054496F" w:rsidRPr="0054496F">
              <w:rPr>
                <w:rStyle w:val="Hiperveza"/>
                <w:rFonts w:asciiTheme="minorHAnsi" w:eastAsia="SimSun" w:hAnsiTheme="minorHAnsi" w:cstheme="minorHAnsi"/>
                <w:noProof/>
                <w:sz w:val="24"/>
                <w:szCs w:val="24"/>
              </w:rPr>
              <w:t>2.2.</w:t>
            </w:r>
            <w:r w:rsidR="0054496F" w:rsidRPr="0054496F">
              <w:rPr>
                <w:rFonts w:asciiTheme="minorHAnsi" w:eastAsiaTheme="minorEastAsia" w:hAnsiTheme="minorHAnsi" w:cstheme="minorHAnsi"/>
                <w:noProof/>
                <w:sz w:val="24"/>
                <w:szCs w:val="24"/>
              </w:rPr>
              <w:tab/>
            </w:r>
            <w:r w:rsidR="0054496F" w:rsidRPr="0054496F">
              <w:rPr>
                <w:rStyle w:val="Hiperveza"/>
                <w:rFonts w:asciiTheme="minorHAnsi" w:hAnsiTheme="minorHAnsi" w:cstheme="minorHAnsi"/>
                <w:noProof/>
                <w:sz w:val="24"/>
                <w:szCs w:val="24"/>
              </w:rPr>
              <w:t>Prikaz ljudskih resursa Ministarstva na kraju 2025. godine</w:t>
            </w:r>
            <w:r w:rsidR="0054496F" w:rsidRPr="0054496F">
              <w:rPr>
                <w:rFonts w:asciiTheme="minorHAnsi" w:hAnsiTheme="minorHAnsi" w:cstheme="minorHAnsi"/>
                <w:noProof/>
                <w:webHidden/>
                <w:sz w:val="24"/>
                <w:szCs w:val="24"/>
              </w:rPr>
              <w:tab/>
            </w:r>
            <w:r w:rsidR="0054496F" w:rsidRPr="0054496F">
              <w:rPr>
                <w:rFonts w:asciiTheme="minorHAnsi" w:hAnsiTheme="minorHAnsi" w:cstheme="minorHAnsi"/>
                <w:noProof/>
                <w:webHidden/>
                <w:sz w:val="24"/>
                <w:szCs w:val="24"/>
              </w:rPr>
              <w:fldChar w:fldCharType="begin"/>
            </w:r>
            <w:r w:rsidR="0054496F" w:rsidRPr="0054496F">
              <w:rPr>
                <w:rFonts w:asciiTheme="minorHAnsi" w:hAnsiTheme="minorHAnsi" w:cstheme="minorHAnsi"/>
                <w:noProof/>
                <w:webHidden/>
                <w:sz w:val="24"/>
                <w:szCs w:val="24"/>
              </w:rPr>
              <w:instrText xml:space="preserve"> PAGEREF _Toc221536527 \h </w:instrText>
            </w:r>
            <w:r w:rsidR="0054496F" w:rsidRPr="0054496F">
              <w:rPr>
                <w:rFonts w:asciiTheme="minorHAnsi" w:hAnsiTheme="minorHAnsi" w:cstheme="minorHAnsi"/>
                <w:noProof/>
                <w:webHidden/>
                <w:sz w:val="24"/>
                <w:szCs w:val="24"/>
              </w:rPr>
            </w:r>
            <w:r w:rsidR="0054496F" w:rsidRPr="0054496F">
              <w:rPr>
                <w:rFonts w:asciiTheme="minorHAnsi" w:hAnsiTheme="minorHAnsi" w:cstheme="minorHAnsi"/>
                <w:noProof/>
                <w:webHidden/>
                <w:sz w:val="24"/>
                <w:szCs w:val="24"/>
              </w:rPr>
              <w:fldChar w:fldCharType="separate"/>
            </w:r>
            <w:r w:rsidR="00FF1747">
              <w:rPr>
                <w:rFonts w:asciiTheme="minorHAnsi" w:hAnsiTheme="minorHAnsi" w:cstheme="minorHAnsi"/>
                <w:noProof/>
                <w:webHidden/>
                <w:sz w:val="24"/>
                <w:szCs w:val="24"/>
              </w:rPr>
              <w:t>9</w:t>
            </w:r>
            <w:r w:rsidR="0054496F" w:rsidRPr="0054496F">
              <w:rPr>
                <w:rFonts w:asciiTheme="minorHAnsi" w:hAnsiTheme="minorHAnsi" w:cstheme="minorHAnsi"/>
                <w:noProof/>
                <w:webHidden/>
                <w:sz w:val="24"/>
                <w:szCs w:val="24"/>
              </w:rPr>
              <w:fldChar w:fldCharType="end"/>
            </w:r>
          </w:hyperlink>
        </w:p>
        <w:p w14:paraId="77964E62" w14:textId="4ED5825C" w:rsidR="0054496F" w:rsidRPr="0054496F" w:rsidRDefault="0074387A">
          <w:pPr>
            <w:pStyle w:val="Sadraj1"/>
            <w:tabs>
              <w:tab w:val="left" w:pos="440"/>
            </w:tabs>
            <w:rPr>
              <w:rFonts w:asciiTheme="minorHAnsi" w:eastAsiaTheme="minorEastAsia" w:hAnsiTheme="minorHAnsi" w:cstheme="minorHAnsi"/>
              <w:noProof/>
            </w:rPr>
          </w:pPr>
          <w:hyperlink w:anchor="_Toc221536528" w:history="1">
            <w:r w:rsidR="0054496F" w:rsidRPr="0054496F">
              <w:rPr>
                <w:rStyle w:val="Hiperveza"/>
                <w:rFonts w:asciiTheme="minorHAnsi" w:hAnsiTheme="minorHAnsi" w:cstheme="minorHAnsi"/>
                <w:noProof/>
              </w:rPr>
              <w:t>3.</w:t>
            </w:r>
            <w:r w:rsidR="0054496F" w:rsidRPr="0054496F">
              <w:rPr>
                <w:rFonts w:asciiTheme="minorHAnsi" w:eastAsiaTheme="minorEastAsia" w:hAnsiTheme="minorHAnsi" w:cstheme="minorHAnsi"/>
                <w:noProof/>
              </w:rPr>
              <w:tab/>
            </w:r>
            <w:r w:rsidR="0054496F" w:rsidRPr="0054496F">
              <w:rPr>
                <w:rStyle w:val="Hiperveza"/>
                <w:rFonts w:asciiTheme="minorHAnsi" w:hAnsiTheme="minorHAnsi" w:cstheme="minorHAnsi"/>
                <w:noProof/>
              </w:rPr>
              <w:t>Provedba mjera iz Provedbenog programa i ciljeva iz djelokruga rada te  operativnih ciljeva po ustrojstvenim jedinicama</w:t>
            </w:r>
            <w:r w:rsidR="0054496F" w:rsidRPr="0054496F">
              <w:rPr>
                <w:rFonts w:asciiTheme="minorHAnsi" w:hAnsiTheme="minorHAnsi" w:cstheme="minorHAnsi"/>
                <w:noProof/>
                <w:webHidden/>
              </w:rPr>
              <w:tab/>
            </w:r>
            <w:r w:rsidR="0054496F" w:rsidRPr="0054496F">
              <w:rPr>
                <w:rFonts w:asciiTheme="minorHAnsi" w:hAnsiTheme="minorHAnsi" w:cstheme="minorHAnsi"/>
                <w:noProof/>
                <w:webHidden/>
              </w:rPr>
              <w:fldChar w:fldCharType="begin"/>
            </w:r>
            <w:r w:rsidR="0054496F" w:rsidRPr="0054496F">
              <w:rPr>
                <w:rFonts w:asciiTheme="minorHAnsi" w:hAnsiTheme="minorHAnsi" w:cstheme="minorHAnsi"/>
                <w:noProof/>
                <w:webHidden/>
              </w:rPr>
              <w:instrText xml:space="preserve"> PAGEREF _Toc221536528 \h </w:instrText>
            </w:r>
            <w:r w:rsidR="0054496F" w:rsidRPr="0054496F">
              <w:rPr>
                <w:rFonts w:asciiTheme="minorHAnsi" w:hAnsiTheme="minorHAnsi" w:cstheme="minorHAnsi"/>
                <w:noProof/>
                <w:webHidden/>
              </w:rPr>
            </w:r>
            <w:r w:rsidR="0054496F" w:rsidRPr="0054496F">
              <w:rPr>
                <w:rFonts w:asciiTheme="minorHAnsi" w:hAnsiTheme="minorHAnsi" w:cstheme="minorHAnsi"/>
                <w:noProof/>
                <w:webHidden/>
              </w:rPr>
              <w:fldChar w:fldCharType="separate"/>
            </w:r>
            <w:r w:rsidR="00FF1747">
              <w:rPr>
                <w:rFonts w:asciiTheme="minorHAnsi" w:hAnsiTheme="minorHAnsi" w:cstheme="minorHAnsi"/>
                <w:noProof/>
                <w:webHidden/>
              </w:rPr>
              <w:t>10</w:t>
            </w:r>
            <w:r w:rsidR="0054496F" w:rsidRPr="0054496F">
              <w:rPr>
                <w:rFonts w:asciiTheme="minorHAnsi" w:hAnsiTheme="minorHAnsi" w:cstheme="minorHAnsi"/>
                <w:noProof/>
                <w:webHidden/>
              </w:rPr>
              <w:fldChar w:fldCharType="end"/>
            </w:r>
          </w:hyperlink>
        </w:p>
        <w:p w14:paraId="1C1AE812" w14:textId="4B329AFE" w:rsidR="00CE2E99" w:rsidRPr="0054496F" w:rsidRDefault="00823030" w:rsidP="004A049F">
          <w:pPr>
            <w:pStyle w:val="Sadraj2"/>
            <w:tabs>
              <w:tab w:val="right" w:leader="dot" w:pos="9753"/>
            </w:tabs>
            <w:spacing w:before="50" w:after="50" w:line="276" w:lineRule="auto"/>
            <w:ind w:left="0" w:firstLine="284"/>
            <w:rPr>
              <w:rFonts w:asciiTheme="minorHAnsi" w:hAnsiTheme="minorHAnsi" w:cstheme="minorHAnsi"/>
              <w:sz w:val="24"/>
              <w:szCs w:val="24"/>
            </w:rPr>
          </w:pPr>
          <w:r w:rsidRPr="0054496F">
            <w:rPr>
              <w:rFonts w:asciiTheme="minorHAnsi" w:hAnsiTheme="minorHAnsi" w:cstheme="minorHAnsi"/>
              <w:b/>
              <w:bCs/>
              <w:sz w:val="24"/>
              <w:szCs w:val="24"/>
            </w:rPr>
            <w:fldChar w:fldCharType="end"/>
          </w:r>
          <w:r w:rsidR="00A57A31" w:rsidRPr="0054496F">
            <w:rPr>
              <w:rFonts w:asciiTheme="minorHAnsi" w:hAnsiTheme="minorHAnsi" w:cstheme="minorHAnsi"/>
              <w:sz w:val="24"/>
              <w:szCs w:val="24"/>
            </w:rPr>
            <w:t>3</w:t>
          </w:r>
          <w:r w:rsidR="00BB605A">
            <w:rPr>
              <w:rFonts w:asciiTheme="minorHAnsi" w:hAnsiTheme="minorHAnsi" w:cstheme="minorHAnsi"/>
              <w:sz w:val="24"/>
              <w:szCs w:val="24"/>
            </w:rPr>
            <w:t>.1. Kabinet ministra</w:t>
          </w:r>
          <w:r w:rsidR="00BB605A">
            <w:rPr>
              <w:rFonts w:asciiTheme="minorHAnsi" w:hAnsiTheme="minorHAnsi" w:cstheme="minorHAnsi"/>
              <w:sz w:val="24"/>
              <w:szCs w:val="24"/>
            </w:rPr>
            <w:tab/>
            <w:t>11</w:t>
          </w:r>
        </w:p>
        <w:p w14:paraId="4F45C3F8" w14:textId="18B25EF6" w:rsidR="00CE2E99" w:rsidRPr="0054496F" w:rsidRDefault="00A57A31" w:rsidP="004A049F">
          <w:pPr>
            <w:pStyle w:val="Sadraj2"/>
            <w:tabs>
              <w:tab w:val="right" w:leader="dot" w:pos="9753"/>
            </w:tabs>
            <w:spacing w:before="50" w:after="50" w:line="276" w:lineRule="auto"/>
            <w:ind w:left="284"/>
            <w:rPr>
              <w:rFonts w:asciiTheme="minorHAnsi" w:hAnsiTheme="minorHAnsi" w:cstheme="minorHAnsi"/>
              <w:sz w:val="24"/>
              <w:szCs w:val="24"/>
            </w:rPr>
          </w:pPr>
          <w:r w:rsidRPr="0054496F">
            <w:rPr>
              <w:rFonts w:asciiTheme="minorHAnsi" w:hAnsiTheme="minorHAnsi" w:cstheme="minorHAnsi"/>
              <w:sz w:val="24"/>
              <w:szCs w:val="24"/>
            </w:rPr>
            <w:t>3</w:t>
          </w:r>
          <w:r w:rsidR="00BB605A">
            <w:rPr>
              <w:rFonts w:asciiTheme="minorHAnsi" w:hAnsiTheme="minorHAnsi" w:cstheme="minorHAnsi"/>
              <w:sz w:val="24"/>
              <w:szCs w:val="24"/>
            </w:rPr>
            <w:t>.2. Glavno tajništvo</w:t>
          </w:r>
          <w:r w:rsidR="00BB605A">
            <w:rPr>
              <w:rFonts w:asciiTheme="minorHAnsi" w:hAnsiTheme="minorHAnsi" w:cstheme="minorHAnsi"/>
              <w:sz w:val="24"/>
              <w:szCs w:val="24"/>
            </w:rPr>
            <w:tab/>
            <w:t>13</w:t>
          </w:r>
        </w:p>
        <w:p w14:paraId="427BDB3C" w14:textId="221B4E8E" w:rsidR="00CE2E99" w:rsidRPr="0054496F" w:rsidRDefault="00A57A31" w:rsidP="004A049F">
          <w:pPr>
            <w:pStyle w:val="Sadraj2"/>
            <w:tabs>
              <w:tab w:val="right" w:leader="dot" w:pos="9753"/>
            </w:tabs>
            <w:spacing w:before="50" w:after="50" w:line="276" w:lineRule="auto"/>
            <w:ind w:left="284"/>
            <w:rPr>
              <w:rFonts w:asciiTheme="minorHAnsi" w:hAnsiTheme="minorHAnsi" w:cstheme="minorHAnsi"/>
              <w:sz w:val="24"/>
              <w:szCs w:val="24"/>
            </w:rPr>
          </w:pPr>
          <w:r w:rsidRPr="0054496F">
            <w:rPr>
              <w:rFonts w:asciiTheme="minorHAnsi" w:hAnsiTheme="minorHAnsi" w:cstheme="minorHAnsi"/>
              <w:sz w:val="24"/>
              <w:szCs w:val="24"/>
            </w:rPr>
            <w:t>3</w:t>
          </w:r>
          <w:r w:rsidR="00BB605A">
            <w:rPr>
              <w:rFonts w:asciiTheme="minorHAnsi" w:hAnsiTheme="minorHAnsi" w:cstheme="minorHAnsi"/>
              <w:sz w:val="24"/>
              <w:szCs w:val="24"/>
            </w:rPr>
            <w:t>.3. Uprava pomorstva</w:t>
          </w:r>
          <w:r w:rsidR="00BB605A">
            <w:rPr>
              <w:rFonts w:asciiTheme="minorHAnsi" w:hAnsiTheme="minorHAnsi" w:cstheme="minorHAnsi"/>
              <w:sz w:val="24"/>
              <w:szCs w:val="24"/>
            </w:rPr>
            <w:tab/>
            <w:t>20</w:t>
          </w:r>
        </w:p>
        <w:p w14:paraId="249653FB" w14:textId="063DE6A7" w:rsidR="00CE2E99" w:rsidRPr="0054496F" w:rsidRDefault="00A57A31" w:rsidP="004A049F">
          <w:pPr>
            <w:pStyle w:val="Sadraj2"/>
            <w:tabs>
              <w:tab w:val="right" w:leader="dot" w:pos="9753"/>
            </w:tabs>
            <w:spacing w:before="50" w:after="50" w:line="276" w:lineRule="auto"/>
            <w:ind w:left="284"/>
            <w:rPr>
              <w:rFonts w:asciiTheme="minorHAnsi" w:hAnsiTheme="minorHAnsi" w:cstheme="minorHAnsi"/>
              <w:sz w:val="24"/>
              <w:szCs w:val="24"/>
            </w:rPr>
          </w:pPr>
          <w:r w:rsidRPr="0054496F">
            <w:rPr>
              <w:rFonts w:asciiTheme="minorHAnsi" w:hAnsiTheme="minorHAnsi" w:cstheme="minorHAnsi"/>
              <w:sz w:val="24"/>
              <w:szCs w:val="24"/>
            </w:rPr>
            <w:t>3</w:t>
          </w:r>
          <w:r w:rsidR="00CE2E99" w:rsidRPr="0054496F">
            <w:rPr>
              <w:rFonts w:asciiTheme="minorHAnsi" w:hAnsiTheme="minorHAnsi" w:cstheme="minorHAnsi"/>
              <w:sz w:val="24"/>
              <w:szCs w:val="24"/>
            </w:rPr>
            <w:t>.</w:t>
          </w:r>
          <w:r w:rsidR="00BB605A">
            <w:rPr>
              <w:rFonts w:asciiTheme="minorHAnsi" w:hAnsiTheme="minorHAnsi" w:cstheme="minorHAnsi"/>
              <w:sz w:val="24"/>
              <w:szCs w:val="24"/>
            </w:rPr>
            <w:t>4. Uprava sigurnosti plovidbe</w:t>
          </w:r>
          <w:r w:rsidR="00BB605A">
            <w:rPr>
              <w:rFonts w:asciiTheme="minorHAnsi" w:hAnsiTheme="minorHAnsi" w:cstheme="minorHAnsi"/>
              <w:sz w:val="24"/>
              <w:szCs w:val="24"/>
            </w:rPr>
            <w:tab/>
            <w:t>22</w:t>
          </w:r>
        </w:p>
        <w:p w14:paraId="36208D17" w14:textId="7E9D5224" w:rsidR="00CE2E99" w:rsidRPr="0054496F" w:rsidRDefault="00A57A31" w:rsidP="004A049F">
          <w:pPr>
            <w:pStyle w:val="Sadraj2"/>
            <w:tabs>
              <w:tab w:val="right" w:leader="dot" w:pos="9753"/>
            </w:tabs>
            <w:spacing w:before="50" w:after="50" w:line="276" w:lineRule="auto"/>
            <w:ind w:left="284"/>
            <w:rPr>
              <w:rFonts w:asciiTheme="minorHAnsi" w:hAnsiTheme="minorHAnsi" w:cstheme="minorHAnsi"/>
              <w:sz w:val="24"/>
              <w:szCs w:val="24"/>
            </w:rPr>
          </w:pPr>
          <w:r w:rsidRPr="0054496F">
            <w:rPr>
              <w:rFonts w:asciiTheme="minorHAnsi" w:hAnsiTheme="minorHAnsi" w:cstheme="minorHAnsi"/>
              <w:sz w:val="24"/>
              <w:szCs w:val="24"/>
            </w:rPr>
            <w:t>3</w:t>
          </w:r>
          <w:r w:rsidR="00BB605A">
            <w:rPr>
              <w:rFonts w:asciiTheme="minorHAnsi" w:hAnsiTheme="minorHAnsi" w:cstheme="minorHAnsi"/>
              <w:sz w:val="24"/>
              <w:szCs w:val="24"/>
            </w:rPr>
            <w:t>.5. Uprava unutarnje plovidbe</w:t>
          </w:r>
          <w:r w:rsidR="00BB605A">
            <w:rPr>
              <w:rFonts w:asciiTheme="minorHAnsi" w:hAnsiTheme="minorHAnsi" w:cstheme="minorHAnsi"/>
              <w:sz w:val="24"/>
              <w:szCs w:val="24"/>
            </w:rPr>
            <w:tab/>
            <w:t>57</w:t>
          </w:r>
        </w:p>
        <w:p w14:paraId="19D17B15" w14:textId="73A0C2E9" w:rsidR="00CE2E99" w:rsidRPr="0054496F" w:rsidRDefault="00A57A31" w:rsidP="004A049F">
          <w:pPr>
            <w:pStyle w:val="Sadraj2"/>
            <w:tabs>
              <w:tab w:val="right" w:leader="dot" w:pos="9753"/>
            </w:tabs>
            <w:spacing w:before="50" w:after="50" w:line="276" w:lineRule="auto"/>
            <w:ind w:left="284"/>
            <w:rPr>
              <w:rFonts w:asciiTheme="minorHAnsi" w:hAnsiTheme="minorHAnsi" w:cstheme="minorHAnsi"/>
              <w:sz w:val="24"/>
              <w:szCs w:val="24"/>
            </w:rPr>
          </w:pPr>
          <w:r w:rsidRPr="0054496F">
            <w:rPr>
              <w:rFonts w:asciiTheme="minorHAnsi" w:hAnsiTheme="minorHAnsi" w:cstheme="minorHAnsi"/>
              <w:sz w:val="24"/>
              <w:szCs w:val="24"/>
            </w:rPr>
            <w:t>3</w:t>
          </w:r>
          <w:r w:rsidR="00CE2E99" w:rsidRPr="0054496F">
            <w:rPr>
              <w:rFonts w:asciiTheme="minorHAnsi" w:hAnsiTheme="minorHAnsi" w:cstheme="minorHAnsi"/>
              <w:sz w:val="24"/>
              <w:szCs w:val="24"/>
            </w:rPr>
            <w:t>.6. Uprava za željez</w:t>
          </w:r>
          <w:r w:rsidR="003D4904" w:rsidRPr="0054496F">
            <w:rPr>
              <w:rFonts w:asciiTheme="minorHAnsi" w:hAnsiTheme="minorHAnsi" w:cstheme="minorHAnsi"/>
              <w:sz w:val="24"/>
              <w:szCs w:val="24"/>
            </w:rPr>
            <w:t xml:space="preserve">ničku infrastrukturu i </w:t>
          </w:r>
          <w:r w:rsidR="00BB605A">
            <w:rPr>
              <w:rFonts w:asciiTheme="minorHAnsi" w:hAnsiTheme="minorHAnsi" w:cstheme="minorHAnsi"/>
              <w:sz w:val="24"/>
              <w:szCs w:val="24"/>
            </w:rPr>
            <w:t>promet</w:t>
          </w:r>
          <w:r w:rsidR="00BB605A">
            <w:rPr>
              <w:rFonts w:asciiTheme="minorHAnsi" w:hAnsiTheme="minorHAnsi" w:cstheme="minorHAnsi"/>
              <w:sz w:val="24"/>
              <w:szCs w:val="24"/>
            </w:rPr>
            <w:tab/>
            <w:t>6</w:t>
          </w:r>
          <w:r w:rsidR="003D4904" w:rsidRPr="0054496F">
            <w:rPr>
              <w:rFonts w:asciiTheme="minorHAnsi" w:hAnsiTheme="minorHAnsi" w:cstheme="minorHAnsi"/>
              <w:sz w:val="24"/>
              <w:szCs w:val="24"/>
            </w:rPr>
            <w:t>3</w:t>
          </w:r>
        </w:p>
        <w:p w14:paraId="146B924C" w14:textId="55CF68C0" w:rsidR="00CE2E99" w:rsidRPr="0054496F" w:rsidRDefault="00A57A31" w:rsidP="004A049F">
          <w:pPr>
            <w:pStyle w:val="Sadraj2"/>
            <w:tabs>
              <w:tab w:val="right" w:leader="dot" w:pos="9753"/>
            </w:tabs>
            <w:spacing w:before="50" w:after="50" w:line="276" w:lineRule="auto"/>
            <w:ind w:left="284"/>
            <w:rPr>
              <w:rFonts w:asciiTheme="minorHAnsi" w:hAnsiTheme="minorHAnsi" w:cstheme="minorHAnsi"/>
              <w:sz w:val="24"/>
              <w:szCs w:val="24"/>
            </w:rPr>
          </w:pPr>
          <w:r w:rsidRPr="0054496F">
            <w:rPr>
              <w:rFonts w:asciiTheme="minorHAnsi" w:hAnsiTheme="minorHAnsi" w:cstheme="minorHAnsi"/>
              <w:sz w:val="24"/>
              <w:szCs w:val="24"/>
            </w:rPr>
            <w:t>3</w:t>
          </w:r>
          <w:r w:rsidR="00CE2E99" w:rsidRPr="0054496F">
            <w:rPr>
              <w:rFonts w:asciiTheme="minorHAnsi" w:hAnsiTheme="minorHAnsi" w:cstheme="minorHAnsi"/>
              <w:sz w:val="24"/>
              <w:szCs w:val="24"/>
            </w:rPr>
            <w:t>.7. Uprava zračnog prometa, elekt</w:t>
          </w:r>
          <w:r w:rsidR="00BB605A">
            <w:rPr>
              <w:rFonts w:asciiTheme="minorHAnsi" w:hAnsiTheme="minorHAnsi" w:cstheme="minorHAnsi"/>
              <w:sz w:val="24"/>
              <w:szCs w:val="24"/>
            </w:rPr>
            <w:t>roničkih komunikacija i pošte</w:t>
          </w:r>
          <w:r w:rsidR="00BB605A">
            <w:rPr>
              <w:rFonts w:asciiTheme="minorHAnsi" w:hAnsiTheme="minorHAnsi" w:cstheme="minorHAnsi"/>
              <w:sz w:val="24"/>
              <w:szCs w:val="24"/>
            </w:rPr>
            <w:tab/>
            <w:t>70</w:t>
          </w:r>
        </w:p>
        <w:p w14:paraId="7DD833E3" w14:textId="58C069DC" w:rsidR="00CE2E99" w:rsidRPr="0054496F" w:rsidRDefault="00A57A31" w:rsidP="004A049F">
          <w:pPr>
            <w:pStyle w:val="Sadraj2"/>
            <w:tabs>
              <w:tab w:val="right" w:leader="dot" w:pos="9753"/>
            </w:tabs>
            <w:spacing w:before="50" w:after="50" w:line="276" w:lineRule="auto"/>
            <w:ind w:left="284"/>
            <w:rPr>
              <w:rFonts w:asciiTheme="minorHAnsi" w:hAnsiTheme="minorHAnsi" w:cstheme="minorHAnsi"/>
              <w:sz w:val="24"/>
              <w:szCs w:val="24"/>
            </w:rPr>
          </w:pPr>
          <w:r w:rsidRPr="0054496F">
            <w:rPr>
              <w:rFonts w:asciiTheme="minorHAnsi" w:hAnsiTheme="minorHAnsi" w:cstheme="minorHAnsi"/>
              <w:sz w:val="24"/>
              <w:szCs w:val="24"/>
            </w:rPr>
            <w:t>3</w:t>
          </w:r>
          <w:r w:rsidR="00CE2E99" w:rsidRPr="0054496F">
            <w:rPr>
              <w:rFonts w:asciiTheme="minorHAnsi" w:hAnsiTheme="minorHAnsi" w:cstheme="minorHAnsi"/>
              <w:sz w:val="24"/>
              <w:szCs w:val="24"/>
            </w:rPr>
            <w:t>.8. Uprava za cestovni promet, cestovn</w:t>
          </w:r>
          <w:r w:rsidR="00BB605A">
            <w:rPr>
              <w:rFonts w:asciiTheme="minorHAnsi" w:hAnsiTheme="minorHAnsi" w:cstheme="minorHAnsi"/>
              <w:sz w:val="24"/>
              <w:szCs w:val="24"/>
            </w:rPr>
            <w:t>u infrastrukturu i inspekciju</w:t>
          </w:r>
          <w:r w:rsidR="00BB605A">
            <w:rPr>
              <w:rFonts w:asciiTheme="minorHAnsi" w:hAnsiTheme="minorHAnsi" w:cstheme="minorHAnsi"/>
              <w:sz w:val="24"/>
              <w:szCs w:val="24"/>
            </w:rPr>
            <w:tab/>
            <w:t>74</w:t>
          </w:r>
        </w:p>
        <w:p w14:paraId="6A4B9A33" w14:textId="31DAFB9E" w:rsidR="00CE2E99" w:rsidRPr="0054496F" w:rsidRDefault="00A57A31" w:rsidP="004A049F">
          <w:pPr>
            <w:pStyle w:val="Sadraj2"/>
            <w:tabs>
              <w:tab w:val="right" w:leader="dot" w:pos="9753"/>
            </w:tabs>
            <w:spacing w:before="50" w:after="50" w:line="276" w:lineRule="auto"/>
            <w:ind w:left="284"/>
            <w:rPr>
              <w:rFonts w:asciiTheme="minorHAnsi" w:hAnsiTheme="minorHAnsi" w:cstheme="minorHAnsi"/>
              <w:sz w:val="24"/>
              <w:szCs w:val="24"/>
            </w:rPr>
          </w:pPr>
          <w:r w:rsidRPr="0054496F">
            <w:rPr>
              <w:rFonts w:asciiTheme="minorHAnsi" w:hAnsiTheme="minorHAnsi" w:cstheme="minorHAnsi"/>
              <w:sz w:val="24"/>
              <w:szCs w:val="24"/>
            </w:rPr>
            <w:t>3</w:t>
          </w:r>
          <w:r w:rsidR="00CE2E99" w:rsidRPr="0054496F">
            <w:rPr>
              <w:rFonts w:asciiTheme="minorHAnsi" w:hAnsiTheme="minorHAnsi" w:cstheme="minorHAnsi"/>
              <w:sz w:val="24"/>
              <w:szCs w:val="24"/>
            </w:rPr>
            <w:t>.9. Uprava za EU f</w:t>
          </w:r>
          <w:r w:rsidR="00BB605A">
            <w:rPr>
              <w:rFonts w:asciiTheme="minorHAnsi" w:hAnsiTheme="minorHAnsi" w:cstheme="minorHAnsi"/>
              <w:sz w:val="24"/>
              <w:szCs w:val="24"/>
            </w:rPr>
            <w:t>ondove i strateško planiranje</w:t>
          </w:r>
          <w:r w:rsidR="00BB605A">
            <w:rPr>
              <w:rFonts w:asciiTheme="minorHAnsi" w:hAnsiTheme="minorHAnsi" w:cstheme="minorHAnsi"/>
              <w:sz w:val="24"/>
              <w:szCs w:val="24"/>
            </w:rPr>
            <w:tab/>
            <w:t>76</w:t>
          </w:r>
        </w:p>
        <w:p w14:paraId="716797C7" w14:textId="6CD9CFE0" w:rsidR="00CE2E99" w:rsidRPr="0054496F" w:rsidRDefault="00A57A31" w:rsidP="004A049F">
          <w:pPr>
            <w:pStyle w:val="Sadraj2"/>
            <w:tabs>
              <w:tab w:val="right" w:leader="dot" w:pos="9753"/>
            </w:tabs>
            <w:spacing w:before="50" w:after="50" w:line="276" w:lineRule="auto"/>
            <w:ind w:left="284"/>
            <w:rPr>
              <w:rFonts w:asciiTheme="minorHAnsi" w:hAnsiTheme="minorHAnsi" w:cstheme="minorHAnsi"/>
              <w:sz w:val="24"/>
              <w:szCs w:val="24"/>
            </w:rPr>
          </w:pPr>
          <w:r w:rsidRPr="0054496F">
            <w:rPr>
              <w:rFonts w:asciiTheme="minorHAnsi" w:hAnsiTheme="minorHAnsi" w:cstheme="minorHAnsi"/>
              <w:sz w:val="24"/>
              <w:szCs w:val="24"/>
            </w:rPr>
            <w:t>3</w:t>
          </w:r>
          <w:r w:rsidR="00CE2E99" w:rsidRPr="0054496F">
            <w:rPr>
              <w:rFonts w:asciiTheme="minorHAnsi" w:hAnsiTheme="minorHAnsi" w:cstheme="minorHAnsi"/>
              <w:sz w:val="24"/>
              <w:szCs w:val="24"/>
            </w:rPr>
            <w:t xml:space="preserve">.10. Uprava za </w:t>
          </w:r>
          <w:r w:rsidR="0013162A">
            <w:rPr>
              <w:rFonts w:asciiTheme="minorHAnsi" w:hAnsiTheme="minorHAnsi" w:cstheme="minorHAnsi"/>
              <w:sz w:val="24"/>
              <w:szCs w:val="24"/>
            </w:rPr>
            <w:t>proračun i financije</w:t>
          </w:r>
          <w:r w:rsidR="0013162A">
            <w:rPr>
              <w:rFonts w:asciiTheme="minorHAnsi" w:hAnsiTheme="minorHAnsi" w:cstheme="minorHAnsi"/>
              <w:sz w:val="24"/>
              <w:szCs w:val="24"/>
            </w:rPr>
            <w:tab/>
            <w:t>79</w:t>
          </w:r>
        </w:p>
        <w:p w14:paraId="2E3693CC" w14:textId="542AE08B" w:rsidR="00CE2E99" w:rsidRPr="0054496F" w:rsidRDefault="00A57A31" w:rsidP="004A049F">
          <w:pPr>
            <w:pStyle w:val="Sadraj2"/>
            <w:tabs>
              <w:tab w:val="right" w:leader="dot" w:pos="9753"/>
            </w:tabs>
            <w:spacing w:before="50" w:after="50" w:line="276" w:lineRule="auto"/>
            <w:ind w:left="284"/>
            <w:rPr>
              <w:rFonts w:asciiTheme="minorHAnsi" w:hAnsiTheme="minorHAnsi" w:cstheme="minorHAnsi"/>
              <w:sz w:val="24"/>
              <w:szCs w:val="24"/>
            </w:rPr>
          </w:pPr>
          <w:r w:rsidRPr="0054496F">
            <w:rPr>
              <w:rFonts w:asciiTheme="minorHAnsi" w:hAnsiTheme="minorHAnsi" w:cstheme="minorHAnsi"/>
              <w:sz w:val="24"/>
              <w:szCs w:val="24"/>
            </w:rPr>
            <w:t>3</w:t>
          </w:r>
          <w:r w:rsidR="00CE2E99" w:rsidRPr="0054496F">
            <w:rPr>
              <w:rFonts w:asciiTheme="minorHAnsi" w:hAnsiTheme="minorHAnsi" w:cstheme="minorHAnsi"/>
              <w:sz w:val="24"/>
              <w:szCs w:val="24"/>
            </w:rPr>
            <w:t>.11. Samostalni sektor za vanjske i europsk</w:t>
          </w:r>
          <w:r w:rsidR="0013162A">
            <w:rPr>
              <w:rFonts w:asciiTheme="minorHAnsi" w:hAnsiTheme="minorHAnsi" w:cstheme="minorHAnsi"/>
              <w:sz w:val="24"/>
              <w:szCs w:val="24"/>
            </w:rPr>
            <w:t>e poslove i odnose s javnošću</w:t>
          </w:r>
          <w:r w:rsidR="0013162A">
            <w:rPr>
              <w:rFonts w:asciiTheme="minorHAnsi" w:hAnsiTheme="minorHAnsi" w:cstheme="minorHAnsi"/>
              <w:sz w:val="24"/>
              <w:szCs w:val="24"/>
            </w:rPr>
            <w:tab/>
            <w:t>88</w:t>
          </w:r>
        </w:p>
        <w:p w14:paraId="2942A818" w14:textId="58CECAE3" w:rsidR="00CE2E99" w:rsidRPr="0054496F" w:rsidRDefault="00A57A31" w:rsidP="003D4904">
          <w:pPr>
            <w:pStyle w:val="Sadraj2"/>
            <w:tabs>
              <w:tab w:val="right" w:leader="dot" w:pos="9753"/>
            </w:tabs>
            <w:spacing w:before="50" w:after="50" w:line="276" w:lineRule="auto"/>
            <w:ind w:left="284"/>
            <w:rPr>
              <w:rFonts w:asciiTheme="minorHAnsi" w:hAnsiTheme="minorHAnsi" w:cstheme="minorHAnsi"/>
              <w:sz w:val="24"/>
              <w:szCs w:val="24"/>
            </w:rPr>
          </w:pPr>
          <w:r w:rsidRPr="0054496F">
            <w:rPr>
              <w:rFonts w:asciiTheme="minorHAnsi" w:hAnsiTheme="minorHAnsi" w:cstheme="minorHAnsi"/>
              <w:sz w:val="24"/>
              <w:szCs w:val="24"/>
            </w:rPr>
            <w:t>3</w:t>
          </w:r>
          <w:r w:rsidR="00CE2E99" w:rsidRPr="0054496F">
            <w:rPr>
              <w:rFonts w:asciiTheme="minorHAnsi" w:hAnsiTheme="minorHAnsi" w:cstheme="minorHAnsi"/>
              <w:sz w:val="24"/>
              <w:szCs w:val="24"/>
            </w:rPr>
            <w:t>.12. Samostalna</w:t>
          </w:r>
          <w:r w:rsidR="0013162A">
            <w:rPr>
              <w:rFonts w:asciiTheme="minorHAnsi" w:hAnsiTheme="minorHAnsi" w:cstheme="minorHAnsi"/>
              <w:sz w:val="24"/>
              <w:szCs w:val="24"/>
            </w:rPr>
            <w:t xml:space="preserve"> služba za unutarnju reviziju</w:t>
          </w:r>
          <w:r w:rsidR="0013162A">
            <w:rPr>
              <w:rFonts w:asciiTheme="minorHAnsi" w:hAnsiTheme="minorHAnsi" w:cstheme="minorHAnsi"/>
              <w:sz w:val="24"/>
              <w:szCs w:val="24"/>
            </w:rPr>
            <w:tab/>
            <w:t>92</w:t>
          </w:r>
        </w:p>
      </w:sdtContent>
    </w:sdt>
    <w:p w14:paraId="51E33669" w14:textId="6C84221F" w:rsidR="001F0A9A" w:rsidRPr="0054496F" w:rsidRDefault="00A57A31" w:rsidP="001F0A9A">
      <w:pPr>
        <w:pStyle w:val="Sadraj1"/>
        <w:spacing w:before="50" w:after="50"/>
        <w:rPr>
          <w:rFonts w:asciiTheme="minorHAnsi" w:hAnsiTheme="minorHAnsi" w:cstheme="minorHAnsi"/>
        </w:rPr>
      </w:pPr>
      <w:r w:rsidRPr="0054496F">
        <w:rPr>
          <w:rFonts w:asciiTheme="minorHAnsi" w:hAnsiTheme="minorHAnsi" w:cstheme="minorHAnsi"/>
        </w:rPr>
        <w:t>4</w:t>
      </w:r>
      <w:r w:rsidR="009B4691" w:rsidRPr="0054496F">
        <w:rPr>
          <w:rFonts w:asciiTheme="minorHAnsi" w:hAnsiTheme="minorHAnsi" w:cstheme="minorHAnsi"/>
        </w:rPr>
        <w:t>. Financijski izvještaji</w:t>
      </w:r>
      <w:r w:rsidR="0013162A">
        <w:rPr>
          <w:rFonts w:asciiTheme="minorHAnsi" w:hAnsiTheme="minorHAnsi" w:cstheme="minorHAnsi"/>
        </w:rPr>
        <w:t xml:space="preserve"> Ministarstva</w:t>
      </w:r>
      <w:r w:rsidR="0013162A">
        <w:rPr>
          <w:rFonts w:asciiTheme="minorHAnsi" w:hAnsiTheme="minorHAnsi" w:cstheme="minorHAnsi"/>
        </w:rPr>
        <w:tab/>
        <w:t>94</w:t>
      </w:r>
    </w:p>
    <w:p w14:paraId="07428340" w14:textId="4F69988B" w:rsidR="00E871EA" w:rsidRPr="0054496F" w:rsidRDefault="00E871EA" w:rsidP="00E871EA">
      <w:pPr>
        <w:pStyle w:val="Sadraj1"/>
        <w:spacing w:before="50" w:after="50"/>
        <w:rPr>
          <w:rFonts w:asciiTheme="minorHAnsi" w:hAnsiTheme="minorHAnsi" w:cstheme="minorHAnsi"/>
        </w:rPr>
      </w:pPr>
      <w:r w:rsidRPr="0054496F">
        <w:rPr>
          <w:rFonts w:asciiTheme="minorHAnsi" w:hAnsiTheme="minorHAnsi" w:cstheme="minorHAnsi"/>
        </w:rPr>
        <w:t xml:space="preserve">5. </w:t>
      </w:r>
      <w:r w:rsidR="00D10A2D" w:rsidRPr="00845997">
        <w:rPr>
          <w:rFonts w:ascii="Calibri" w:hAnsi="Calibri" w:cs="Calibri"/>
        </w:rPr>
        <w:t>Popis pravnih osoba iz nadležnosti Ministarstva</w:t>
      </w:r>
      <w:r w:rsidRPr="0054496F">
        <w:rPr>
          <w:rFonts w:asciiTheme="minorHAnsi" w:hAnsiTheme="minorHAnsi" w:cstheme="minorHAnsi"/>
        </w:rPr>
        <w:tab/>
      </w:r>
      <w:r w:rsidR="00F24A5A">
        <w:rPr>
          <w:rFonts w:asciiTheme="minorHAnsi" w:hAnsiTheme="minorHAnsi" w:cstheme="minorHAnsi"/>
        </w:rPr>
        <w:t>13</w:t>
      </w:r>
      <w:r w:rsidR="0074387A">
        <w:rPr>
          <w:rFonts w:asciiTheme="minorHAnsi" w:hAnsiTheme="minorHAnsi" w:cstheme="minorHAnsi"/>
        </w:rPr>
        <w:t>2</w:t>
      </w:r>
      <w:bookmarkStart w:id="4" w:name="_GoBack"/>
      <w:bookmarkEnd w:id="4"/>
    </w:p>
    <w:p w14:paraId="2A86A1EA" w14:textId="77777777" w:rsidR="00E871EA" w:rsidRPr="00E871EA" w:rsidRDefault="00E871EA" w:rsidP="00E871EA"/>
    <w:p w14:paraId="45E54ADC" w14:textId="697E7FF0" w:rsidR="00DE01AC" w:rsidRDefault="00DE01AC" w:rsidP="001F0A9A">
      <w:pPr>
        <w:pStyle w:val="Sadraj1"/>
        <w:spacing w:before="50" w:after="50"/>
      </w:pPr>
    </w:p>
    <w:p w14:paraId="73A77438" w14:textId="77777777" w:rsidR="00DE01AC" w:rsidRPr="00DE01AC" w:rsidRDefault="00DE01AC" w:rsidP="00DE01AC"/>
    <w:p w14:paraId="1989D86F" w14:textId="77777777" w:rsidR="00DE01AC" w:rsidRPr="00DE01AC" w:rsidRDefault="00DE01AC" w:rsidP="00DE01AC"/>
    <w:p w14:paraId="4BD5E41B" w14:textId="77777777" w:rsidR="00DE01AC" w:rsidRPr="00DE01AC" w:rsidRDefault="00DE01AC" w:rsidP="00DE01AC"/>
    <w:p w14:paraId="34FF0543" w14:textId="42479362" w:rsidR="00DE01AC" w:rsidRDefault="00DE01AC">
      <w:pPr>
        <w:spacing w:after="160" w:line="259" w:lineRule="auto"/>
      </w:pPr>
      <w:r>
        <w:br w:type="page"/>
      </w:r>
    </w:p>
    <w:p w14:paraId="60250C7E" w14:textId="17F98950" w:rsidR="003409EF" w:rsidRPr="009A732B" w:rsidRDefault="003409EF" w:rsidP="00CE0FFD">
      <w:pPr>
        <w:spacing w:after="120"/>
        <w:rPr>
          <w:rFonts w:ascii="Cambria" w:hAnsi="Cambria" w:cstheme="minorHAnsi"/>
          <w:b/>
        </w:rPr>
      </w:pPr>
      <w:bookmarkStart w:id="5" w:name="_Toc62805447"/>
      <w:bookmarkStart w:id="6" w:name="_Toc188271346"/>
      <w:r w:rsidRPr="00141DEA">
        <w:rPr>
          <w:rFonts w:ascii="Cambria" w:eastAsia="SimSun" w:hAnsi="Cambria" w:cstheme="minorHAnsi"/>
          <w:b/>
          <w:color w:val="1F4E79" w:themeColor="accent1" w:themeShade="80"/>
          <w:sz w:val="28"/>
          <w:lang w:eastAsia="zh-CN"/>
        </w:rPr>
        <w:lastRenderedPageBreak/>
        <w:t>Predgovor ministra mora, prometa i infrastrukture</w:t>
      </w:r>
      <w:bookmarkEnd w:id="5"/>
      <w:bookmarkEnd w:id="6"/>
    </w:p>
    <w:tbl>
      <w:tblPr>
        <w:tblW w:w="9521" w:type="dxa"/>
        <w:tblLook w:val="04A0" w:firstRow="1" w:lastRow="0" w:firstColumn="1" w:lastColumn="0" w:noHBand="0" w:noVBand="1"/>
      </w:tblPr>
      <w:tblGrid>
        <w:gridCol w:w="4635"/>
        <w:gridCol w:w="4886"/>
      </w:tblGrid>
      <w:tr w:rsidR="003409EF" w:rsidRPr="00D64B0C" w14:paraId="5E714082" w14:textId="77777777" w:rsidTr="00304B2D">
        <w:trPr>
          <w:trHeight w:val="4606"/>
        </w:trPr>
        <w:tc>
          <w:tcPr>
            <w:tcW w:w="4635" w:type="dxa"/>
            <w:shd w:val="clear" w:color="auto" w:fill="auto"/>
          </w:tcPr>
          <w:p w14:paraId="0875ABAC" w14:textId="77777777" w:rsidR="003409EF" w:rsidRPr="00D64B0C" w:rsidRDefault="003409EF" w:rsidP="00CD5F60">
            <w:pPr>
              <w:spacing w:before="240" w:line="276" w:lineRule="auto"/>
              <w:jc w:val="both"/>
              <w:rPr>
                <w:rFonts w:ascii="Calibri" w:hAnsi="Calibri" w:cs="Calibri"/>
                <w:i/>
                <w:sz w:val="22"/>
                <w:szCs w:val="22"/>
              </w:rPr>
            </w:pPr>
            <w:r>
              <w:rPr>
                <w:rFonts w:ascii="Calibri" w:hAnsi="Calibri" w:cs="Calibri"/>
                <w:i/>
                <w:noProof/>
                <w:sz w:val="22"/>
                <w:szCs w:val="22"/>
              </w:rPr>
              <w:drawing>
                <wp:inline distT="0" distB="0" distL="0" distR="0" wp14:anchorId="5DF9E800" wp14:editId="31821C2E">
                  <wp:extent cx="2695575" cy="2695575"/>
                  <wp:effectExtent l="0" t="0" r="9525"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2 nsl Ministar_Butkovic VRH_201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95575" cy="2695575"/>
                          </a:xfrm>
                          <a:prstGeom prst="rect">
                            <a:avLst/>
                          </a:prstGeom>
                          <a:noFill/>
                          <a:ln>
                            <a:noFill/>
                          </a:ln>
                        </pic:spPr>
                      </pic:pic>
                    </a:graphicData>
                  </a:graphic>
                </wp:inline>
              </w:drawing>
            </w:r>
          </w:p>
        </w:tc>
        <w:tc>
          <w:tcPr>
            <w:tcW w:w="4886" w:type="dxa"/>
            <w:shd w:val="clear" w:color="auto" w:fill="auto"/>
          </w:tcPr>
          <w:p w14:paraId="25479F7B" w14:textId="2C85ADF8" w:rsidR="003409EF" w:rsidRPr="00CB087B" w:rsidRDefault="003409EF" w:rsidP="00CB087B">
            <w:pPr>
              <w:spacing w:before="120" w:line="276" w:lineRule="auto"/>
              <w:jc w:val="both"/>
              <w:rPr>
                <w:rFonts w:ascii="Calibri" w:hAnsi="Calibri" w:cs="Calibri"/>
                <w:i/>
                <w:sz w:val="18"/>
                <w:szCs w:val="18"/>
              </w:rPr>
            </w:pPr>
            <w:r w:rsidRPr="00D64B0C">
              <w:rPr>
                <w:rFonts w:ascii="Calibri" w:hAnsi="Calibri" w:cs="Calibri"/>
                <w:i/>
                <w:sz w:val="22"/>
                <w:szCs w:val="22"/>
              </w:rPr>
              <w:t xml:space="preserve">Ministarstvo mora, prometa i infrastrukture ima iznimno složen djelokrug poslova i zadataka koji se organiziraju i operativno provode na način da budu u funkciji razvoja efikasnog, sigurnog, ekološki prihvatljivog i modernog prometnog i komunikacijskog sustava, potpuno integriranog u mrežu glavnih međunarodnih prometnih pravaca, što je javni interes i jedna od temeljnih pretpostavki gospodarskog </w:t>
            </w:r>
            <w:r w:rsidR="00003975">
              <w:rPr>
                <w:rFonts w:ascii="Calibri" w:hAnsi="Calibri" w:cs="Calibri"/>
                <w:i/>
                <w:sz w:val="22"/>
                <w:szCs w:val="22"/>
              </w:rPr>
              <w:t>razvoja</w:t>
            </w:r>
            <w:r w:rsidRPr="00D64B0C">
              <w:rPr>
                <w:rFonts w:ascii="Calibri" w:hAnsi="Calibri" w:cs="Calibri"/>
                <w:i/>
                <w:sz w:val="22"/>
                <w:szCs w:val="22"/>
              </w:rPr>
              <w:t>, a u skladu s potrebama i na korist svih građana Republike Hrvatske.</w:t>
            </w:r>
          </w:p>
          <w:p w14:paraId="47BDFBCA" w14:textId="7AA2C1B6" w:rsidR="003409EF" w:rsidRPr="00D64B0C" w:rsidRDefault="0026642D" w:rsidP="0026642D">
            <w:pPr>
              <w:spacing w:before="120" w:line="276" w:lineRule="auto"/>
              <w:jc w:val="both"/>
              <w:rPr>
                <w:rFonts w:ascii="Calibri" w:hAnsi="Calibri" w:cs="Calibri"/>
                <w:i/>
                <w:sz w:val="22"/>
                <w:szCs w:val="22"/>
              </w:rPr>
            </w:pPr>
            <w:r w:rsidRPr="0026642D">
              <w:rPr>
                <w:rFonts w:ascii="Calibri" w:hAnsi="Calibri" w:cs="Calibri"/>
                <w:i/>
                <w:sz w:val="22"/>
                <w:szCs w:val="22"/>
              </w:rPr>
              <w:t>Tijekom 2025. godine Ministarstvo mora, prometa i infrastrukture ostvaril</w:t>
            </w:r>
            <w:r>
              <w:rPr>
                <w:rFonts w:ascii="Calibri" w:hAnsi="Calibri" w:cs="Calibri"/>
                <w:i/>
                <w:sz w:val="22"/>
                <w:szCs w:val="22"/>
              </w:rPr>
              <w:t>o je značajne rezultate u svim područjima svoje nadležnosti, uz kontinuirano jačanje institucionalnih kapaciteta, provedbu</w:t>
            </w:r>
            <w:r w:rsidR="00CB087B">
              <w:rPr>
                <w:rFonts w:ascii="Calibri" w:hAnsi="Calibri" w:cs="Calibri"/>
                <w:i/>
                <w:sz w:val="22"/>
                <w:szCs w:val="22"/>
              </w:rPr>
              <w:t xml:space="preserve"> </w:t>
            </w:r>
          </w:p>
        </w:tc>
      </w:tr>
    </w:tbl>
    <w:p w14:paraId="105C620E" w14:textId="09ECC7E2" w:rsidR="0026642D" w:rsidRDefault="0026642D" w:rsidP="0026642D">
      <w:pPr>
        <w:spacing w:before="120" w:line="276" w:lineRule="auto"/>
        <w:jc w:val="both"/>
        <w:rPr>
          <w:rFonts w:ascii="Calibri" w:hAnsi="Calibri" w:cs="Calibri"/>
          <w:i/>
          <w:sz w:val="22"/>
          <w:szCs w:val="22"/>
        </w:rPr>
      </w:pPr>
      <w:r w:rsidRPr="0026642D">
        <w:rPr>
          <w:rFonts w:ascii="Calibri" w:hAnsi="Calibri" w:cs="Calibri"/>
          <w:i/>
          <w:sz w:val="22"/>
          <w:szCs w:val="22"/>
        </w:rPr>
        <w:t>strateških infrastrukturnih projekata te unaprjeđenje sigurnosti, održivosti i povezanosti prometnog sustava Republike Hrvatske.</w:t>
      </w:r>
    </w:p>
    <w:p w14:paraId="721F7A05" w14:textId="29B60669" w:rsidR="00E9266A" w:rsidRPr="00E9266A" w:rsidRDefault="00E9266A" w:rsidP="00E9266A">
      <w:pPr>
        <w:spacing w:before="120" w:line="276" w:lineRule="auto"/>
        <w:jc w:val="both"/>
        <w:rPr>
          <w:rFonts w:ascii="Calibri" w:hAnsi="Calibri" w:cs="Calibri"/>
          <w:i/>
          <w:sz w:val="22"/>
          <w:szCs w:val="22"/>
        </w:rPr>
      </w:pPr>
      <w:r w:rsidRPr="00E9266A">
        <w:rPr>
          <w:rFonts w:ascii="Calibri" w:hAnsi="Calibri" w:cs="Calibri"/>
          <w:i/>
          <w:sz w:val="22"/>
          <w:szCs w:val="22"/>
        </w:rPr>
        <w:t>Na institucionalnoj razini, donesenom Uredbom o unutarnjem ustr</w:t>
      </w:r>
      <w:r w:rsidR="00F564EF">
        <w:rPr>
          <w:rFonts w:ascii="Calibri" w:hAnsi="Calibri" w:cs="Calibri"/>
          <w:i/>
          <w:sz w:val="22"/>
          <w:szCs w:val="22"/>
        </w:rPr>
        <w:t xml:space="preserve">ojstvu Ministarstva (NN 158/25), </w:t>
      </w:r>
      <w:r w:rsidRPr="00E9266A">
        <w:rPr>
          <w:rFonts w:ascii="Calibri" w:hAnsi="Calibri" w:cs="Calibri"/>
          <w:i/>
          <w:sz w:val="22"/>
          <w:szCs w:val="22"/>
        </w:rPr>
        <w:t>dodatno je unaprijeđena organizacijska učinkovitost i jasnoća nadležnosti. Istodobno su ostvareni konkretni iskoraci u digitalizaciji usluga kroz proširenje broja e-usluga za građane i gospodarske subjekte, kao i kroz provedbu energetski održivih projekata, uključujući ugradnju opreme za solarnu elektranu na zgradi Ministarstva.</w:t>
      </w:r>
    </w:p>
    <w:p w14:paraId="3C99170A" w14:textId="77777777" w:rsidR="00E9266A" w:rsidRPr="00E9266A" w:rsidRDefault="00E9266A" w:rsidP="00E9266A">
      <w:pPr>
        <w:spacing w:before="120" w:line="276" w:lineRule="auto"/>
        <w:jc w:val="both"/>
        <w:rPr>
          <w:rFonts w:ascii="Calibri" w:hAnsi="Calibri" w:cs="Calibri"/>
          <w:i/>
          <w:sz w:val="22"/>
          <w:szCs w:val="22"/>
        </w:rPr>
      </w:pPr>
      <w:r w:rsidRPr="00E9266A">
        <w:rPr>
          <w:rFonts w:ascii="Calibri" w:hAnsi="Calibri" w:cs="Calibri"/>
          <w:i/>
          <w:sz w:val="22"/>
          <w:szCs w:val="22"/>
        </w:rPr>
        <w:t>U području strateškog upravljanja i koordinacije, osigurana je učinkovita provedba planiranih aktivnosti, pravodobno zastupanje interesa Republike Hrvatske u tijelima Europske unije te kvalitetna međunarodna suradnja. Unatoč izazovima vezanim uz dinamiku implementacije europskog zakonodavstva, kontinuiranom koordinacijom i razmjenom informacija osigurano je nesmetano izvršavanje preuzetih obveza.</w:t>
      </w:r>
    </w:p>
    <w:p w14:paraId="5815B2F9" w14:textId="77777777" w:rsidR="00E9266A" w:rsidRPr="00E9266A" w:rsidRDefault="00E9266A" w:rsidP="00E9266A">
      <w:pPr>
        <w:spacing w:before="120" w:line="276" w:lineRule="auto"/>
        <w:jc w:val="both"/>
        <w:rPr>
          <w:rFonts w:ascii="Calibri" w:hAnsi="Calibri" w:cs="Calibri"/>
          <w:i/>
          <w:sz w:val="22"/>
          <w:szCs w:val="22"/>
        </w:rPr>
      </w:pPr>
      <w:r w:rsidRPr="00E9266A">
        <w:rPr>
          <w:rFonts w:ascii="Calibri" w:hAnsi="Calibri" w:cs="Calibri"/>
          <w:i/>
          <w:sz w:val="22"/>
          <w:szCs w:val="22"/>
        </w:rPr>
        <w:t>U pomorskom sektoru ostvaren je niz iznimno značajnih rezultata. Donošenjem novog Programa sufinanciranja ukrcaja vježbenika palube, stroja i elektrotehnike na brodove u međunarodnoj i nacionalnoj plovidbi za razdoblje 2025. – 2029. godine, dodatno je osnažen sustav obrazovanja i zapošljavanja hrvatskih pomoraca.</w:t>
      </w:r>
    </w:p>
    <w:p w14:paraId="537FDA37" w14:textId="443E8936" w:rsidR="00E9266A" w:rsidRPr="00E9266A" w:rsidRDefault="00E9266A" w:rsidP="00E9266A">
      <w:pPr>
        <w:spacing w:before="120" w:line="276" w:lineRule="auto"/>
        <w:jc w:val="both"/>
        <w:rPr>
          <w:rFonts w:ascii="Calibri" w:hAnsi="Calibri" w:cs="Calibri"/>
          <w:i/>
          <w:sz w:val="22"/>
          <w:szCs w:val="22"/>
        </w:rPr>
      </w:pPr>
      <w:r w:rsidRPr="00E9266A">
        <w:rPr>
          <w:rFonts w:ascii="Calibri" w:hAnsi="Calibri" w:cs="Calibri"/>
          <w:i/>
          <w:sz w:val="22"/>
          <w:szCs w:val="22"/>
        </w:rPr>
        <w:t>Istodobno je unaprijeđena sigurnost plovidbe kroz nabavu novih plovila za lučke kapetanije, uspješno provedene međunarodne vježbe traganja, spašavanja i</w:t>
      </w:r>
      <w:r w:rsidR="007A6457">
        <w:rPr>
          <w:rFonts w:ascii="Calibri" w:hAnsi="Calibri" w:cs="Calibri"/>
          <w:i/>
          <w:sz w:val="22"/>
          <w:szCs w:val="22"/>
        </w:rPr>
        <w:t xml:space="preserve"> suzbijanja onečišćenja </w:t>
      </w:r>
      <w:r w:rsidR="002925DA">
        <w:rPr>
          <w:rFonts w:ascii="Calibri" w:hAnsi="Calibri" w:cs="Calibri"/>
          <w:i/>
          <w:sz w:val="22"/>
          <w:szCs w:val="22"/>
        </w:rPr>
        <w:t xml:space="preserve">mora </w:t>
      </w:r>
      <w:r w:rsidR="007A6457">
        <w:rPr>
          <w:rFonts w:ascii="Calibri" w:hAnsi="Calibri" w:cs="Calibri"/>
          <w:i/>
          <w:sz w:val="22"/>
          <w:szCs w:val="22"/>
        </w:rPr>
        <w:t xml:space="preserve">Jadran </w:t>
      </w:r>
      <w:proofErr w:type="spellStart"/>
      <w:r w:rsidRPr="00E9266A">
        <w:rPr>
          <w:rFonts w:ascii="Calibri" w:hAnsi="Calibri" w:cs="Calibri"/>
          <w:i/>
          <w:sz w:val="22"/>
          <w:szCs w:val="22"/>
        </w:rPr>
        <w:t>SARex</w:t>
      </w:r>
      <w:proofErr w:type="spellEnd"/>
      <w:r w:rsidRPr="00E9266A">
        <w:rPr>
          <w:rFonts w:ascii="Calibri" w:hAnsi="Calibri" w:cs="Calibri"/>
          <w:i/>
          <w:sz w:val="22"/>
          <w:szCs w:val="22"/>
        </w:rPr>
        <w:t xml:space="preserve"> / </w:t>
      </w:r>
      <w:proofErr w:type="spellStart"/>
      <w:r w:rsidRPr="00E9266A">
        <w:rPr>
          <w:rFonts w:ascii="Calibri" w:hAnsi="Calibri" w:cs="Calibri"/>
          <w:i/>
          <w:sz w:val="22"/>
          <w:szCs w:val="22"/>
        </w:rPr>
        <w:t>POLex</w:t>
      </w:r>
      <w:proofErr w:type="spellEnd"/>
      <w:r w:rsidRPr="00E9266A">
        <w:rPr>
          <w:rFonts w:ascii="Calibri" w:hAnsi="Calibri" w:cs="Calibri"/>
          <w:i/>
          <w:sz w:val="22"/>
          <w:szCs w:val="22"/>
        </w:rPr>
        <w:t xml:space="preserve"> / </w:t>
      </w:r>
      <w:proofErr w:type="spellStart"/>
      <w:r w:rsidRPr="00E9266A">
        <w:rPr>
          <w:rFonts w:ascii="Calibri" w:hAnsi="Calibri" w:cs="Calibri"/>
          <w:i/>
          <w:sz w:val="22"/>
          <w:szCs w:val="22"/>
        </w:rPr>
        <w:t>COMex</w:t>
      </w:r>
      <w:proofErr w:type="spellEnd"/>
      <w:r w:rsidRPr="00E9266A">
        <w:rPr>
          <w:rFonts w:ascii="Calibri" w:hAnsi="Calibri" w:cs="Calibri"/>
          <w:i/>
          <w:sz w:val="22"/>
          <w:szCs w:val="22"/>
        </w:rPr>
        <w:t xml:space="preserve"> 2025 te kroz visoku ocjenu učinkovitosti hrvatske pomorske administracije u okviru revizije Međunarodne pomorske organizacije. Posebno se ističe izbor Republike Hrvatske u Vijeće Međunarodne organizacije za sredstva pomorske navigacije (IALA) te aktivna uloga u modernizaciji sustava obveznog javljanja brodova na Jadranu ADRIREP, čime je dodatno potvrđena međunarodna prepoznatljivost i stručnost hrvatske pomorske administracije. Nadalje, unaprijeđena je međuresorna razmjena podataka, učinkovitije postupanje u incidentima na moru te povezanost s pomorskim administracijama drugih država članica Europske unije kroz uključivanje u rad Zajedničkog europskog okruženja za razmjenu informacija (CISE).</w:t>
      </w:r>
    </w:p>
    <w:p w14:paraId="531CE12C" w14:textId="69BC659B" w:rsidR="00E9266A" w:rsidRPr="00E9266A" w:rsidRDefault="00E9266A" w:rsidP="00E9266A">
      <w:pPr>
        <w:spacing w:before="120" w:line="276" w:lineRule="auto"/>
        <w:jc w:val="both"/>
        <w:rPr>
          <w:rFonts w:ascii="Calibri" w:hAnsi="Calibri" w:cs="Calibri"/>
          <w:i/>
          <w:sz w:val="22"/>
          <w:szCs w:val="22"/>
        </w:rPr>
      </w:pPr>
      <w:r w:rsidRPr="00E9266A">
        <w:rPr>
          <w:rFonts w:ascii="Calibri" w:hAnsi="Calibri" w:cs="Calibri"/>
          <w:i/>
          <w:sz w:val="22"/>
          <w:szCs w:val="22"/>
        </w:rPr>
        <w:t>U području unutarnje plovidbe nastavljen je proces zakonodavne reforme, modernizacije plovnih putova, redovnog obilježavanja i tehničkog održavanja te razvoja lučke infrastrukture. Doneseni</w:t>
      </w:r>
      <w:r w:rsidRPr="00E9266A">
        <w:t xml:space="preserve"> </w:t>
      </w:r>
      <w:r w:rsidRPr="00E9266A">
        <w:rPr>
          <w:rFonts w:ascii="Calibri" w:hAnsi="Calibri" w:cs="Calibri"/>
          <w:i/>
          <w:sz w:val="22"/>
          <w:szCs w:val="22"/>
        </w:rPr>
        <w:t xml:space="preserve">su ključni </w:t>
      </w:r>
      <w:proofErr w:type="spellStart"/>
      <w:r w:rsidRPr="00E9266A">
        <w:rPr>
          <w:rFonts w:ascii="Calibri" w:hAnsi="Calibri" w:cs="Calibri"/>
          <w:i/>
          <w:sz w:val="22"/>
          <w:szCs w:val="22"/>
        </w:rPr>
        <w:lastRenderedPageBreak/>
        <w:t>podzakonski</w:t>
      </w:r>
      <w:proofErr w:type="spellEnd"/>
      <w:r w:rsidRPr="00E9266A">
        <w:rPr>
          <w:rFonts w:ascii="Calibri" w:hAnsi="Calibri" w:cs="Calibri"/>
          <w:i/>
          <w:sz w:val="22"/>
          <w:szCs w:val="22"/>
        </w:rPr>
        <w:t xml:space="preserve"> akti te je izrađen Akcijski plan za provedbu Srednjoročnog plana razvitka vodnih putova, luka i pristaništa Republike Hrvatske za razdoblje 2022. – 2031. godine. Otvorena su nova pristaništa,  dobivene su suglasnosti za šest novih projekata na rijekama unutarnjih voda te za projekt izgradnje zgrade jedne lučke uprave. Osigurane</w:t>
      </w:r>
      <w:r w:rsidR="00F417BD">
        <w:rPr>
          <w:rFonts w:ascii="Calibri" w:hAnsi="Calibri" w:cs="Calibri"/>
          <w:i/>
          <w:sz w:val="22"/>
          <w:szCs w:val="22"/>
        </w:rPr>
        <w:t xml:space="preserve"> su</w:t>
      </w:r>
      <w:r w:rsidRPr="00E9266A">
        <w:rPr>
          <w:rFonts w:ascii="Calibri" w:hAnsi="Calibri" w:cs="Calibri"/>
          <w:i/>
          <w:sz w:val="22"/>
          <w:szCs w:val="22"/>
        </w:rPr>
        <w:t xml:space="preserve"> financijske potpore brodarima te pomoći jedinicama lokalne i područne samouprave za osposobljavanje plovila.</w:t>
      </w:r>
    </w:p>
    <w:p w14:paraId="15F72563" w14:textId="027AE9A3" w:rsidR="00E9266A" w:rsidRPr="00E9266A" w:rsidRDefault="00E9266A" w:rsidP="00E9266A">
      <w:pPr>
        <w:spacing w:before="120" w:line="276" w:lineRule="auto"/>
        <w:jc w:val="both"/>
        <w:rPr>
          <w:rFonts w:ascii="Calibri" w:hAnsi="Calibri" w:cs="Calibri"/>
          <w:i/>
          <w:sz w:val="22"/>
          <w:szCs w:val="22"/>
        </w:rPr>
      </w:pPr>
      <w:r w:rsidRPr="00E9266A">
        <w:rPr>
          <w:rFonts w:ascii="Calibri" w:hAnsi="Calibri" w:cs="Calibri"/>
          <w:i/>
          <w:sz w:val="22"/>
          <w:szCs w:val="22"/>
        </w:rPr>
        <w:t>U području željezničkog prometa ostvaren je vidljiv napredak u području modernizacije i jačanja otpornosti željezničkog sustava</w:t>
      </w:r>
      <w:r w:rsidR="0045089B">
        <w:rPr>
          <w:rFonts w:ascii="Calibri" w:hAnsi="Calibri" w:cs="Calibri"/>
          <w:i/>
          <w:sz w:val="22"/>
          <w:szCs w:val="22"/>
        </w:rPr>
        <w:t xml:space="preserve">. </w:t>
      </w:r>
      <w:r w:rsidRPr="00E9266A">
        <w:rPr>
          <w:rFonts w:ascii="Calibri" w:hAnsi="Calibri" w:cs="Calibri"/>
          <w:i/>
          <w:sz w:val="22"/>
          <w:szCs w:val="22"/>
        </w:rPr>
        <w:t>Aktivnosti su bile usmjerene na ubrzanje obnove i izgradnje željezničke infrastrukture te upravljačkog i sigurnosnog infrastrukturnog podsustava, unapređenje voznog parka, kao i na daljnje unaprjeđenje regulatornog i strateškog okvira uz jačanje usklađenosti s pravnom stečevinom Europske unije. Provedene mjere doprinijele su povećanju razine sigurnosti, pouzdanosti i učinkovitosti željezničkog prometa te jačanju povezanosti Republike Hrvatske s</w:t>
      </w:r>
      <w:r w:rsidR="00725E85">
        <w:rPr>
          <w:rFonts w:ascii="Calibri" w:hAnsi="Calibri" w:cs="Calibri"/>
          <w:i/>
          <w:sz w:val="22"/>
          <w:szCs w:val="22"/>
        </w:rPr>
        <w:t xml:space="preserve"> europskim prometnim koridorima</w:t>
      </w:r>
      <w:r w:rsidR="0045089B">
        <w:rPr>
          <w:rFonts w:ascii="Calibri" w:hAnsi="Calibri" w:cs="Calibri"/>
          <w:i/>
          <w:sz w:val="22"/>
          <w:szCs w:val="22"/>
        </w:rPr>
        <w:t>.</w:t>
      </w:r>
    </w:p>
    <w:p w14:paraId="4561F69F" w14:textId="77777777" w:rsidR="00E9266A" w:rsidRPr="00E9266A" w:rsidRDefault="00E9266A" w:rsidP="00E9266A">
      <w:pPr>
        <w:spacing w:before="120" w:line="276" w:lineRule="auto"/>
        <w:jc w:val="both"/>
        <w:rPr>
          <w:rFonts w:ascii="Calibri" w:hAnsi="Calibri" w:cs="Calibri"/>
          <w:i/>
          <w:sz w:val="22"/>
          <w:szCs w:val="22"/>
        </w:rPr>
      </w:pPr>
      <w:r w:rsidRPr="00E9266A">
        <w:rPr>
          <w:rFonts w:ascii="Calibri" w:hAnsi="Calibri" w:cs="Calibri"/>
          <w:i/>
          <w:sz w:val="22"/>
          <w:szCs w:val="22"/>
        </w:rPr>
        <w:t>U sektoru zračnog prometa naglasak je bio na unaprjeđenju sigurnosti i zaštite civilnog zrakoplovstva, očuvanju zračne povezanosti regije kroz odvijanje domaćeg linijskog zračnog prijevoza, čime je osigurana povezanost i ujednačen razvoj regija unutar Republike Hrvatske i bolja mobilnost stanovništva, te na praćenju provedbe koncesijskog ugovora za Zračnu luku Zagreb, što je rezultiralo porastom broja putnika i jačanjem regionalne uloge zračne luke.</w:t>
      </w:r>
    </w:p>
    <w:p w14:paraId="5A3EF951" w14:textId="77777777" w:rsidR="00E9266A" w:rsidRPr="00E9266A" w:rsidRDefault="00E9266A" w:rsidP="00E9266A">
      <w:pPr>
        <w:spacing w:before="120" w:line="276" w:lineRule="auto"/>
        <w:jc w:val="both"/>
        <w:rPr>
          <w:rFonts w:ascii="Calibri" w:hAnsi="Calibri" w:cs="Calibri"/>
          <w:i/>
          <w:sz w:val="22"/>
          <w:szCs w:val="22"/>
        </w:rPr>
      </w:pPr>
      <w:r w:rsidRPr="00E9266A">
        <w:rPr>
          <w:rFonts w:ascii="Calibri" w:hAnsi="Calibri" w:cs="Calibri"/>
          <w:i/>
          <w:sz w:val="22"/>
          <w:szCs w:val="22"/>
        </w:rPr>
        <w:t>U području elektroničkih komunikacija i poštanskih usluga nastavljena je provedba mjera usmjerenih na osiguranje dostupnosti elektroničkih komunikacijskih mreža vrlo velikog kapaciteta, u skladu s ciljevima i ključnim etapama utvrđenima Nacionalnim planom oporavka i otpornosti 2021. – 2026., Strategijom digitalne Hrvatske za razdoblje do 2032. godine te Nacionalnim planom razvoja širokopojasnog pristupa u Republici Hrvatskoj do 2027. godine.</w:t>
      </w:r>
    </w:p>
    <w:p w14:paraId="3CEF842C" w14:textId="49BE3EE7" w:rsidR="00E9266A" w:rsidRPr="00E9266A" w:rsidRDefault="00E9266A" w:rsidP="00E9266A">
      <w:pPr>
        <w:spacing w:before="120" w:line="276" w:lineRule="auto"/>
        <w:jc w:val="both"/>
        <w:rPr>
          <w:rFonts w:ascii="Calibri" w:hAnsi="Calibri" w:cs="Calibri"/>
          <w:i/>
          <w:sz w:val="22"/>
          <w:szCs w:val="22"/>
        </w:rPr>
      </w:pPr>
      <w:r w:rsidRPr="00E9266A">
        <w:rPr>
          <w:rFonts w:ascii="Calibri" w:hAnsi="Calibri" w:cs="Calibri"/>
          <w:i/>
          <w:sz w:val="22"/>
          <w:szCs w:val="22"/>
        </w:rPr>
        <w:t xml:space="preserve">U 2025. godini u cestovnom prometu i infrastrukturi ostvareni su rezultati koji u većini slučajeva premašuju planirane pokazatelje. U području cestovne infrastrukture posebna je pažnja posvećena povećanju sigurnosti cestovnog prometa, razvoju infrastrukture od državnog značaja i stvaranju zakonodavnog okvira za uvođenje </w:t>
      </w:r>
      <w:proofErr w:type="spellStart"/>
      <w:r w:rsidRPr="00E9266A">
        <w:rPr>
          <w:rFonts w:ascii="Calibri" w:hAnsi="Calibri" w:cs="Calibri"/>
          <w:i/>
          <w:sz w:val="22"/>
          <w:szCs w:val="22"/>
        </w:rPr>
        <w:t>beskontaktnog</w:t>
      </w:r>
      <w:proofErr w:type="spellEnd"/>
      <w:r w:rsidRPr="00E9266A">
        <w:rPr>
          <w:rFonts w:ascii="Calibri" w:hAnsi="Calibri" w:cs="Calibri"/>
          <w:i/>
          <w:sz w:val="22"/>
          <w:szCs w:val="22"/>
        </w:rPr>
        <w:t xml:space="preserve"> sustava naplate cestarine. U području cestovnog prometa naglasak je bio na sufinanciranju javne usluge cestovnog prijevoza putnika na kopnu i otocima, čime je osigurana bolja dostupnost prijevoza, jača prometna povezanost i ravnomjerniji regionalni razvoj, dok je uspostava sustava AFFINIS unaprijedila upravljanje putničkim i teretnim prometom, čime je omogućen brži pristup informacijama te je ostvarena veća sigurnost i transparentnost u sektoru. Dodatno, pojačani inspekcijski nadzor, posebno na području nadzora</w:t>
      </w:r>
      <w:r w:rsidR="00B71C17">
        <w:rPr>
          <w:rFonts w:ascii="Calibri" w:hAnsi="Calibri" w:cs="Calibri"/>
          <w:i/>
          <w:sz w:val="22"/>
          <w:szCs w:val="22"/>
        </w:rPr>
        <w:t xml:space="preserve"> prijevoza autotaksi vozilima, te</w:t>
      </w:r>
      <w:r w:rsidRPr="00E9266A">
        <w:rPr>
          <w:rFonts w:ascii="Calibri" w:hAnsi="Calibri" w:cs="Calibri"/>
          <w:i/>
          <w:sz w:val="22"/>
          <w:szCs w:val="22"/>
        </w:rPr>
        <w:t xml:space="preserve"> uspješna međunarodna suradnja s nadležnim tijelima drugih država Europske unije doprinijeli su povećanju zakonitosti i sigurnosti unutarnjeg i međunarodnog cestovnog prijevoza.</w:t>
      </w:r>
    </w:p>
    <w:p w14:paraId="1878666D" w14:textId="38D6C51E" w:rsidR="00EF63E5" w:rsidRPr="00E9266A" w:rsidRDefault="00E9266A" w:rsidP="00E9266A">
      <w:pPr>
        <w:spacing w:before="120" w:line="276" w:lineRule="auto"/>
        <w:jc w:val="both"/>
        <w:rPr>
          <w:rFonts w:ascii="Calibri" w:hAnsi="Calibri" w:cs="Calibri"/>
          <w:i/>
          <w:sz w:val="22"/>
          <w:szCs w:val="22"/>
        </w:rPr>
      </w:pPr>
      <w:r w:rsidRPr="00E9266A">
        <w:rPr>
          <w:rFonts w:ascii="Calibri" w:hAnsi="Calibri" w:cs="Calibri"/>
          <w:i/>
          <w:sz w:val="22"/>
          <w:szCs w:val="22"/>
        </w:rPr>
        <w:t>U području EU fondova i strateškog planiranja nastavljeno je ostvarivanje rezultata koji premašuju planirane vrijednosti pokazatelja i predviđene outpute. Poseban naglasak stavljen je na učinkovito povećanje apsorpcije sredstava iz fondova Europske unije, pri čemu su svi poslovi stručno-tehničke prirode – uključujući koordinaciju, izvješćivanje, pripremu projekata te pripremu i provedbu poziva za dodjelu bespovratnih sredstava, od odabira do ugovaranja – provedeni pravodobno i uspješno. Nadalje, osigurano je učinkovito upravljanje i kontrola korištenja sredstava iz fondova EU, uz sustavno izvještavanje o njihovoj provedbi, napretku EU programa, razvoju administrativnih kapaciteta te korištenju tehničke pomoći.</w:t>
      </w:r>
    </w:p>
    <w:p w14:paraId="7DAA5421" w14:textId="77777777" w:rsidR="00E9266A" w:rsidRPr="00E9266A" w:rsidRDefault="00E9266A" w:rsidP="00E9266A">
      <w:pPr>
        <w:spacing w:before="120" w:line="276" w:lineRule="auto"/>
        <w:jc w:val="both"/>
        <w:rPr>
          <w:rFonts w:ascii="Calibri" w:hAnsi="Calibri" w:cs="Calibri"/>
          <w:i/>
          <w:sz w:val="22"/>
          <w:szCs w:val="22"/>
        </w:rPr>
      </w:pPr>
      <w:r w:rsidRPr="00E9266A">
        <w:rPr>
          <w:rFonts w:ascii="Calibri" w:hAnsi="Calibri" w:cs="Calibri"/>
          <w:i/>
          <w:sz w:val="22"/>
          <w:szCs w:val="22"/>
        </w:rPr>
        <w:t>Sveukupno gledano, 2025. godina obilježena je snažnim napretkom u provedbi strateških ciljeva Ministarstva, jačanjem sigurnosti svih vidova prometa, učinkovitim korištenjem sredstava Europske unije te daljnjim razvojem održivog, integriranog i konkurentnog prometnog sustava Republike Hrvatske.</w:t>
      </w:r>
    </w:p>
    <w:p w14:paraId="5BBCCD37" w14:textId="6AE34F10" w:rsidR="00E9266A" w:rsidRPr="0026642D" w:rsidRDefault="00E9266A" w:rsidP="00E9266A">
      <w:pPr>
        <w:spacing w:before="120" w:line="276" w:lineRule="auto"/>
        <w:jc w:val="both"/>
        <w:rPr>
          <w:rFonts w:ascii="Calibri" w:hAnsi="Calibri" w:cs="Calibri"/>
          <w:i/>
          <w:sz w:val="22"/>
          <w:szCs w:val="22"/>
        </w:rPr>
      </w:pPr>
    </w:p>
    <w:p w14:paraId="55FA3BE8" w14:textId="00416EA0" w:rsidR="002E56B0" w:rsidRPr="0026642D" w:rsidRDefault="003409EF" w:rsidP="0026642D">
      <w:pPr>
        <w:spacing w:before="120" w:line="276" w:lineRule="auto"/>
        <w:jc w:val="both"/>
        <w:rPr>
          <w:rFonts w:ascii="Calibri" w:hAnsi="Calibri" w:cs="Calibri"/>
          <w:i/>
          <w:sz w:val="22"/>
          <w:szCs w:val="22"/>
        </w:rPr>
      </w:pPr>
      <w:r w:rsidRPr="0026642D">
        <w:rPr>
          <w:rFonts w:ascii="Calibri" w:hAnsi="Calibri" w:cs="Calibri"/>
          <w:i/>
          <w:sz w:val="22"/>
          <w:szCs w:val="22"/>
        </w:rPr>
        <w:br w:type="page"/>
      </w:r>
    </w:p>
    <w:p w14:paraId="3F1F3D86" w14:textId="26FD7DD7" w:rsidR="003409EF" w:rsidRPr="00141DEA" w:rsidRDefault="003409EF" w:rsidP="003C3C12">
      <w:pPr>
        <w:pStyle w:val="Naslov1"/>
        <w:numPr>
          <w:ilvl w:val="0"/>
          <w:numId w:val="11"/>
        </w:numPr>
        <w:spacing w:before="360" w:after="120" w:line="240" w:lineRule="auto"/>
        <w:ind w:left="426" w:hanging="284"/>
        <w:rPr>
          <w:rFonts w:ascii="Calibri" w:hAnsi="Calibri"/>
        </w:rPr>
      </w:pPr>
      <w:bookmarkStart w:id="7" w:name="_Toc62805449"/>
      <w:bookmarkStart w:id="8" w:name="_Toc221536522"/>
      <w:r w:rsidRPr="00141DEA">
        <w:rPr>
          <w:rFonts w:ascii="Calibri" w:hAnsi="Calibri"/>
        </w:rPr>
        <w:lastRenderedPageBreak/>
        <w:t>Kontekst</w:t>
      </w:r>
      <w:bookmarkEnd w:id="7"/>
      <w:bookmarkEnd w:id="8"/>
    </w:p>
    <w:p w14:paraId="65D15B79" w14:textId="77777777" w:rsidR="004B4EAF" w:rsidRPr="004B4EAF" w:rsidRDefault="004B4EAF" w:rsidP="004B4EAF">
      <w:pPr>
        <w:rPr>
          <w:highlight w:val="yellow"/>
          <w:lang w:eastAsia="zh-CN"/>
        </w:rPr>
      </w:pPr>
    </w:p>
    <w:p w14:paraId="34F09499" w14:textId="5A5DF055" w:rsidR="001B4D2C" w:rsidRPr="001B4D2C" w:rsidRDefault="001B4D2C" w:rsidP="001B4D2C">
      <w:pPr>
        <w:spacing w:before="120" w:after="120" w:line="276" w:lineRule="auto"/>
        <w:jc w:val="both"/>
        <w:rPr>
          <w:rFonts w:ascii="Calibri" w:hAnsi="Calibri" w:cs="Calibri"/>
          <w:sz w:val="22"/>
          <w:szCs w:val="22"/>
        </w:rPr>
      </w:pPr>
      <w:r w:rsidRPr="001B4D2C">
        <w:rPr>
          <w:rFonts w:ascii="Calibri" w:hAnsi="Calibri" w:cs="Calibri"/>
          <w:sz w:val="22"/>
          <w:szCs w:val="22"/>
        </w:rPr>
        <w:t>Prometna povezanost svih dijelova Hrvatske i razvijanje povezane infrastrukture ključni su za hrvatsko gospodarstvo i kvalitetu života građana. U skladu s prometnom politikom Europske unije i globalnim trendovima, prometni sustav Republike Hrvatske bit će potrebno razvijati po modelu koji omogućava održivi razvoj prometnog sustava uz energetsku učinkovitost, vođenje brige o okolišu uz maksimalnu sigurnost svih sudionika u prometu. U skladu s Europskim zelenim planom, izazovi, investicije i ulaganje te razvojne potrebe bit će vezani za smanjenje emisija stakleničkih plinova koje uzrokuje promet. Prioriteti provedbe politika u području prometa imaju za cilj razvoj održivog prometa te poticanje razvoja pametnih rješenja u prometnom sustavu.</w:t>
      </w:r>
    </w:p>
    <w:p w14:paraId="7A51A63D" w14:textId="4F38D7E7" w:rsidR="005F1779" w:rsidRDefault="001B4D2C" w:rsidP="003409EF">
      <w:pPr>
        <w:spacing w:before="120" w:after="120" w:line="276" w:lineRule="auto"/>
        <w:jc w:val="both"/>
        <w:rPr>
          <w:rFonts w:ascii="Calibri" w:hAnsi="Calibri" w:cs="Calibri"/>
          <w:sz w:val="22"/>
          <w:szCs w:val="22"/>
        </w:rPr>
      </w:pPr>
      <w:r w:rsidRPr="001B4D2C">
        <w:rPr>
          <w:rFonts w:ascii="Calibri" w:hAnsi="Calibri" w:cs="Calibri"/>
          <w:sz w:val="22"/>
          <w:szCs w:val="22"/>
        </w:rPr>
        <w:t>Prometna mreža je neujednačena, s vrlo nerazvijenom željezničkom infrastrukturom te nedovoljno razvijenom infrastrukturom za javni gradski, prigradski i međugradski promet, dok su u pomorskom sektoru potrebna ulaganja u izgradnju novih luka te rekonstrukciju ili premještanje postojećih putničkih i trajektnih luka radi daljnjeg povećanja kapaciteta obalnog linijskog prijevoza i poboljšanja komunikacije s otocima. Nužno je razviti kvalitetnu, održivu i prilagodljivu infrastrukturu, usmjerenu čistim i ekološki ispravnim tehnologijama. Potrebno je značajno povećati pristup informacijskim i komunikacijskim tehnologijama, unaprijediti cestovnu sigurnost, prije svega proširivanjem dosega javnog prijevoza te spriječiti i značajno umanjiti zagađenja morskih resursa svih vrsta, uključujući otpad koji onečišćuje more i rijeke.</w:t>
      </w:r>
    </w:p>
    <w:p w14:paraId="40ECBDA5" w14:textId="4279CE3E" w:rsidR="00C07848" w:rsidRDefault="00C07848" w:rsidP="003409EF">
      <w:pPr>
        <w:spacing w:before="120" w:after="120" w:line="276" w:lineRule="auto"/>
        <w:jc w:val="both"/>
        <w:rPr>
          <w:rFonts w:ascii="Calibri" w:hAnsi="Calibri" w:cs="Calibri"/>
          <w:sz w:val="22"/>
          <w:szCs w:val="22"/>
        </w:rPr>
      </w:pPr>
    </w:p>
    <w:p w14:paraId="71E7C6E2" w14:textId="5096020A" w:rsidR="00D15917" w:rsidRPr="00141DEA" w:rsidRDefault="006A7779" w:rsidP="00D15917">
      <w:pPr>
        <w:pStyle w:val="Stil1"/>
      </w:pPr>
      <w:bookmarkStart w:id="9" w:name="_Toc221536523"/>
      <w:r w:rsidRPr="00141DEA">
        <w:t xml:space="preserve">PESTEL </w:t>
      </w:r>
      <w:r w:rsidR="006B50A6" w:rsidRPr="00141DEA">
        <w:t>analiza</w:t>
      </w:r>
      <w:bookmarkEnd w:id="9"/>
    </w:p>
    <w:p w14:paraId="25D91DF7" w14:textId="77777777" w:rsidR="00D15917" w:rsidRPr="00D15917" w:rsidRDefault="00D15917" w:rsidP="00D15917">
      <w:pPr>
        <w:pStyle w:val="Stil1"/>
        <w:numPr>
          <w:ilvl w:val="0"/>
          <w:numId w:val="0"/>
        </w:numPr>
        <w:spacing w:before="0" w:after="0"/>
        <w:ind w:left="360"/>
        <w:rPr>
          <w:highlight w:val="yellow"/>
        </w:rPr>
      </w:pPr>
    </w:p>
    <w:tbl>
      <w:tblPr>
        <w:tblStyle w:val="Reetkatablice"/>
        <w:tblW w:w="9356" w:type="dxa"/>
        <w:tblInd w:w="-5" w:type="dxa"/>
        <w:tblLook w:val="04A0" w:firstRow="1" w:lastRow="0" w:firstColumn="1" w:lastColumn="0" w:noHBand="0" w:noVBand="1"/>
      </w:tblPr>
      <w:tblGrid>
        <w:gridCol w:w="4536"/>
        <w:gridCol w:w="4820"/>
      </w:tblGrid>
      <w:tr w:rsidR="00656FEA" w14:paraId="005302DB" w14:textId="77777777" w:rsidTr="00D71817">
        <w:trPr>
          <w:trHeight w:val="340"/>
        </w:trPr>
        <w:tc>
          <w:tcPr>
            <w:tcW w:w="9356" w:type="dxa"/>
            <w:gridSpan w:val="2"/>
          </w:tcPr>
          <w:p w14:paraId="1FBF1345" w14:textId="77777777" w:rsidR="00656FEA" w:rsidRPr="006B50A6" w:rsidRDefault="00656FEA" w:rsidP="00A920E6">
            <w:pPr>
              <w:jc w:val="center"/>
              <w:rPr>
                <w:rFonts w:asciiTheme="minorHAnsi" w:hAnsiTheme="minorHAnsi" w:cstheme="minorHAnsi"/>
                <w:b/>
                <w:sz w:val="22"/>
                <w:szCs w:val="22"/>
                <w:lang w:eastAsia="zh-CN"/>
              </w:rPr>
            </w:pPr>
            <w:r w:rsidRPr="006B50A6">
              <w:rPr>
                <w:rFonts w:asciiTheme="minorHAnsi" w:hAnsiTheme="minorHAnsi" w:cstheme="minorHAnsi"/>
                <w:b/>
                <w:sz w:val="22"/>
                <w:szCs w:val="22"/>
                <w:lang w:eastAsia="zh-CN"/>
              </w:rPr>
              <w:t>POLITIČKO OKRUŽENJE</w:t>
            </w:r>
          </w:p>
        </w:tc>
      </w:tr>
      <w:tr w:rsidR="00656FEA" w14:paraId="37EDF888" w14:textId="77777777" w:rsidTr="00D71817">
        <w:trPr>
          <w:trHeight w:val="340"/>
        </w:trPr>
        <w:tc>
          <w:tcPr>
            <w:tcW w:w="4536" w:type="dxa"/>
            <w:shd w:val="clear" w:color="auto" w:fill="BDD6EE" w:themeFill="accent1" w:themeFillTint="66"/>
          </w:tcPr>
          <w:p w14:paraId="0BA1354C" w14:textId="77777777" w:rsidR="00656FEA" w:rsidRPr="006B50A6" w:rsidRDefault="00656FEA" w:rsidP="00A920E6">
            <w:pPr>
              <w:rPr>
                <w:rFonts w:asciiTheme="minorHAnsi" w:hAnsiTheme="minorHAnsi" w:cstheme="minorHAnsi"/>
                <w:sz w:val="22"/>
                <w:szCs w:val="22"/>
                <w:lang w:eastAsia="zh-CN"/>
              </w:rPr>
            </w:pPr>
            <w:r w:rsidRPr="006B50A6">
              <w:rPr>
                <w:rFonts w:asciiTheme="minorHAnsi" w:hAnsiTheme="minorHAnsi" w:cstheme="minorHAnsi"/>
                <w:sz w:val="22"/>
                <w:szCs w:val="22"/>
                <w:lang w:eastAsia="zh-CN"/>
              </w:rPr>
              <w:t>Pozitivni čimbenici</w:t>
            </w:r>
          </w:p>
        </w:tc>
        <w:tc>
          <w:tcPr>
            <w:tcW w:w="4820" w:type="dxa"/>
            <w:shd w:val="clear" w:color="auto" w:fill="BDD6EE" w:themeFill="accent1" w:themeFillTint="66"/>
          </w:tcPr>
          <w:p w14:paraId="42865EC1" w14:textId="77777777" w:rsidR="00656FEA" w:rsidRPr="006B50A6" w:rsidRDefault="00656FEA" w:rsidP="00A920E6">
            <w:pPr>
              <w:rPr>
                <w:rFonts w:asciiTheme="minorHAnsi" w:hAnsiTheme="minorHAnsi" w:cstheme="minorHAnsi"/>
                <w:sz w:val="22"/>
                <w:szCs w:val="22"/>
                <w:lang w:eastAsia="zh-CN"/>
              </w:rPr>
            </w:pPr>
            <w:r w:rsidRPr="006B50A6">
              <w:rPr>
                <w:rFonts w:asciiTheme="minorHAnsi" w:hAnsiTheme="minorHAnsi" w:cstheme="minorHAnsi"/>
                <w:sz w:val="22"/>
                <w:szCs w:val="22"/>
                <w:lang w:eastAsia="zh-CN"/>
              </w:rPr>
              <w:t>Negativni čimbenici</w:t>
            </w:r>
          </w:p>
        </w:tc>
      </w:tr>
      <w:tr w:rsidR="00656FEA" w14:paraId="689627B2" w14:textId="77777777" w:rsidTr="00D71817">
        <w:trPr>
          <w:trHeight w:val="340"/>
        </w:trPr>
        <w:tc>
          <w:tcPr>
            <w:tcW w:w="4536" w:type="dxa"/>
          </w:tcPr>
          <w:p w14:paraId="3F644F93" w14:textId="77777777" w:rsidR="00656FEA" w:rsidRPr="006B50A6" w:rsidRDefault="00656FEA" w:rsidP="00A920E6">
            <w:pPr>
              <w:rPr>
                <w:rFonts w:asciiTheme="minorHAnsi" w:hAnsiTheme="minorHAnsi" w:cstheme="minorHAnsi"/>
                <w:sz w:val="22"/>
                <w:szCs w:val="22"/>
                <w:lang w:eastAsia="zh-CN"/>
              </w:rPr>
            </w:pPr>
            <w:r w:rsidRPr="006B50A6">
              <w:rPr>
                <w:rFonts w:asciiTheme="minorHAnsi" w:hAnsiTheme="minorHAnsi" w:cstheme="minorHAnsi"/>
                <w:sz w:val="22"/>
                <w:szCs w:val="22"/>
                <w:lang w:eastAsia="zh-CN"/>
              </w:rPr>
              <w:t>Uređen zakonodavan okvir</w:t>
            </w:r>
          </w:p>
        </w:tc>
        <w:tc>
          <w:tcPr>
            <w:tcW w:w="4820" w:type="dxa"/>
          </w:tcPr>
          <w:p w14:paraId="064D8FE6" w14:textId="77777777" w:rsidR="00656FEA" w:rsidRPr="006B50A6" w:rsidRDefault="00656FEA" w:rsidP="00A920E6">
            <w:pPr>
              <w:rPr>
                <w:rFonts w:asciiTheme="minorHAnsi" w:hAnsiTheme="minorHAnsi" w:cstheme="minorHAnsi"/>
                <w:sz w:val="22"/>
                <w:szCs w:val="22"/>
                <w:lang w:eastAsia="zh-CN"/>
              </w:rPr>
            </w:pPr>
            <w:r w:rsidRPr="006B50A6">
              <w:rPr>
                <w:rFonts w:asciiTheme="minorHAnsi" w:hAnsiTheme="minorHAnsi" w:cstheme="minorHAnsi"/>
                <w:sz w:val="22"/>
                <w:szCs w:val="22"/>
                <w:lang w:eastAsia="zh-CN"/>
              </w:rPr>
              <w:t>Otežana provedba zakonodavnog okvira u praksi</w:t>
            </w:r>
          </w:p>
        </w:tc>
      </w:tr>
      <w:tr w:rsidR="00656FEA" w14:paraId="729E7BE9" w14:textId="77777777" w:rsidTr="00D71817">
        <w:trPr>
          <w:trHeight w:val="340"/>
        </w:trPr>
        <w:tc>
          <w:tcPr>
            <w:tcW w:w="4536" w:type="dxa"/>
          </w:tcPr>
          <w:p w14:paraId="637DB9E5" w14:textId="77777777" w:rsidR="00656FEA" w:rsidRPr="006B50A6" w:rsidRDefault="00656FEA" w:rsidP="00A920E6">
            <w:pPr>
              <w:rPr>
                <w:rFonts w:asciiTheme="minorHAnsi" w:hAnsiTheme="minorHAnsi" w:cstheme="minorHAnsi"/>
                <w:sz w:val="22"/>
                <w:szCs w:val="22"/>
                <w:lang w:eastAsia="zh-CN"/>
              </w:rPr>
            </w:pPr>
            <w:r w:rsidRPr="006B50A6">
              <w:rPr>
                <w:rFonts w:asciiTheme="minorHAnsi" w:hAnsiTheme="minorHAnsi" w:cstheme="minorHAnsi"/>
                <w:sz w:val="22"/>
                <w:szCs w:val="22"/>
                <w:lang w:eastAsia="zh-CN"/>
              </w:rPr>
              <w:t>Stabilno političko okruženje</w:t>
            </w:r>
          </w:p>
        </w:tc>
        <w:tc>
          <w:tcPr>
            <w:tcW w:w="4820" w:type="dxa"/>
          </w:tcPr>
          <w:p w14:paraId="6951650C" w14:textId="77777777" w:rsidR="00656FEA" w:rsidRPr="006B50A6" w:rsidRDefault="00656FEA" w:rsidP="00A920E6">
            <w:pPr>
              <w:rPr>
                <w:rFonts w:asciiTheme="minorHAnsi" w:hAnsiTheme="minorHAnsi" w:cstheme="minorHAnsi"/>
                <w:sz w:val="22"/>
                <w:szCs w:val="22"/>
                <w:lang w:eastAsia="zh-CN"/>
              </w:rPr>
            </w:pPr>
            <w:r w:rsidRPr="006B50A6">
              <w:rPr>
                <w:rFonts w:asciiTheme="minorHAnsi" w:hAnsiTheme="minorHAnsi" w:cstheme="minorHAnsi"/>
                <w:sz w:val="22"/>
                <w:szCs w:val="22"/>
                <w:lang w:eastAsia="zh-CN"/>
              </w:rPr>
              <w:t>Spori administrativni procesi</w:t>
            </w:r>
            <w:r w:rsidRPr="006B50A6" w:rsidDel="0009051A">
              <w:rPr>
                <w:rFonts w:asciiTheme="minorHAnsi" w:hAnsiTheme="minorHAnsi" w:cstheme="minorHAnsi"/>
                <w:sz w:val="22"/>
                <w:szCs w:val="22"/>
                <w:lang w:eastAsia="zh-CN"/>
              </w:rPr>
              <w:t xml:space="preserve"> </w:t>
            </w:r>
          </w:p>
        </w:tc>
      </w:tr>
      <w:tr w:rsidR="00656FEA" w14:paraId="0D623361" w14:textId="77777777" w:rsidTr="00D71817">
        <w:trPr>
          <w:trHeight w:val="340"/>
        </w:trPr>
        <w:tc>
          <w:tcPr>
            <w:tcW w:w="9356" w:type="dxa"/>
            <w:gridSpan w:val="2"/>
          </w:tcPr>
          <w:p w14:paraId="606B3F24" w14:textId="77777777" w:rsidR="00656FEA" w:rsidRPr="006B50A6" w:rsidRDefault="00656FEA" w:rsidP="00A920E6">
            <w:pPr>
              <w:jc w:val="center"/>
              <w:rPr>
                <w:rFonts w:asciiTheme="minorHAnsi" w:hAnsiTheme="minorHAnsi" w:cstheme="minorHAnsi"/>
                <w:b/>
                <w:sz w:val="22"/>
                <w:szCs w:val="22"/>
                <w:lang w:eastAsia="zh-CN"/>
              </w:rPr>
            </w:pPr>
            <w:r w:rsidRPr="006B50A6">
              <w:rPr>
                <w:rFonts w:asciiTheme="minorHAnsi" w:hAnsiTheme="minorHAnsi" w:cstheme="minorHAnsi"/>
                <w:b/>
                <w:sz w:val="22"/>
                <w:szCs w:val="22"/>
                <w:lang w:eastAsia="zh-CN"/>
              </w:rPr>
              <w:t>EKONOMSKO OKRUŽENJE</w:t>
            </w:r>
          </w:p>
        </w:tc>
      </w:tr>
      <w:tr w:rsidR="00656FEA" w14:paraId="3CBD7C6F" w14:textId="77777777" w:rsidTr="00D71817">
        <w:trPr>
          <w:trHeight w:val="340"/>
        </w:trPr>
        <w:tc>
          <w:tcPr>
            <w:tcW w:w="4536" w:type="dxa"/>
            <w:shd w:val="clear" w:color="auto" w:fill="BDD6EE" w:themeFill="accent1" w:themeFillTint="66"/>
          </w:tcPr>
          <w:p w14:paraId="0B59C7EA" w14:textId="77777777" w:rsidR="00656FEA" w:rsidRPr="006B50A6" w:rsidRDefault="00656FEA" w:rsidP="00A920E6">
            <w:pPr>
              <w:rPr>
                <w:rFonts w:asciiTheme="minorHAnsi" w:hAnsiTheme="minorHAnsi" w:cstheme="minorHAnsi"/>
                <w:sz w:val="22"/>
                <w:szCs w:val="22"/>
                <w:lang w:eastAsia="zh-CN"/>
              </w:rPr>
            </w:pPr>
            <w:r w:rsidRPr="006B50A6">
              <w:rPr>
                <w:rFonts w:asciiTheme="minorHAnsi" w:hAnsiTheme="minorHAnsi" w:cstheme="minorHAnsi"/>
                <w:sz w:val="22"/>
                <w:szCs w:val="22"/>
                <w:lang w:eastAsia="zh-CN"/>
              </w:rPr>
              <w:t>Pozitivni čimbenici</w:t>
            </w:r>
          </w:p>
        </w:tc>
        <w:tc>
          <w:tcPr>
            <w:tcW w:w="4820" w:type="dxa"/>
            <w:shd w:val="clear" w:color="auto" w:fill="BDD6EE" w:themeFill="accent1" w:themeFillTint="66"/>
          </w:tcPr>
          <w:p w14:paraId="0E570DEA" w14:textId="77777777" w:rsidR="00656FEA" w:rsidRPr="006B50A6" w:rsidRDefault="00656FEA" w:rsidP="00A920E6">
            <w:pPr>
              <w:rPr>
                <w:rFonts w:asciiTheme="minorHAnsi" w:hAnsiTheme="minorHAnsi" w:cstheme="minorHAnsi"/>
                <w:sz w:val="22"/>
                <w:szCs w:val="22"/>
                <w:lang w:eastAsia="zh-CN"/>
              </w:rPr>
            </w:pPr>
            <w:r w:rsidRPr="006B50A6">
              <w:rPr>
                <w:rFonts w:asciiTheme="minorHAnsi" w:hAnsiTheme="minorHAnsi" w:cstheme="minorHAnsi"/>
                <w:sz w:val="22"/>
                <w:szCs w:val="22"/>
                <w:lang w:eastAsia="zh-CN"/>
              </w:rPr>
              <w:t>Negativni čimbenici</w:t>
            </w:r>
          </w:p>
        </w:tc>
      </w:tr>
      <w:tr w:rsidR="00656FEA" w14:paraId="1EF12C30" w14:textId="77777777" w:rsidTr="00D71817">
        <w:trPr>
          <w:trHeight w:val="340"/>
        </w:trPr>
        <w:tc>
          <w:tcPr>
            <w:tcW w:w="4536" w:type="dxa"/>
          </w:tcPr>
          <w:p w14:paraId="4C5B9187" w14:textId="6AF29BEA" w:rsidR="00656FEA" w:rsidRPr="006B50A6" w:rsidRDefault="00656FEA" w:rsidP="00A920E6">
            <w:pPr>
              <w:rPr>
                <w:rFonts w:asciiTheme="minorHAnsi" w:hAnsiTheme="minorHAnsi" w:cstheme="minorHAnsi"/>
                <w:sz w:val="22"/>
                <w:szCs w:val="22"/>
                <w:lang w:eastAsia="zh-CN"/>
              </w:rPr>
            </w:pPr>
            <w:r w:rsidRPr="006B50A6">
              <w:rPr>
                <w:rFonts w:asciiTheme="minorHAnsi" w:hAnsiTheme="minorHAnsi" w:cstheme="minorHAnsi"/>
                <w:sz w:val="22"/>
                <w:szCs w:val="22"/>
                <w:lang w:eastAsia="zh-CN"/>
              </w:rPr>
              <w:t>Godišnji rast BDP</w:t>
            </w:r>
            <w:r w:rsidR="00314A95">
              <w:rPr>
                <w:rFonts w:asciiTheme="minorHAnsi" w:hAnsiTheme="minorHAnsi" w:cstheme="minorHAnsi"/>
                <w:sz w:val="22"/>
                <w:szCs w:val="22"/>
                <w:lang w:eastAsia="zh-CN"/>
              </w:rPr>
              <w:t>-a</w:t>
            </w:r>
          </w:p>
        </w:tc>
        <w:tc>
          <w:tcPr>
            <w:tcW w:w="4820" w:type="dxa"/>
          </w:tcPr>
          <w:p w14:paraId="6FEAD4C3" w14:textId="77777777" w:rsidR="00656FEA" w:rsidRPr="006B50A6" w:rsidRDefault="00656FEA" w:rsidP="00A920E6">
            <w:pPr>
              <w:rPr>
                <w:rFonts w:asciiTheme="minorHAnsi" w:hAnsiTheme="minorHAnsi" w:cstheme="minorHAnsi"/>
                <w:sz w:val="22"/>
                <w:szCs w:val="22"/>
                <w:lang w:eastAsia="zh-CN"/>
              </w:rPr>
            </w:pPr>
            <w:r w:rsidRPr="006B50A6">
              <w:rPr>
                <w:rFonts w:asciiTheme="minorHAnsi" w:hAnsiTheme="minorHAnsi" w:cstheme="minorHAnsi"/>
                <w:sz w:val="22"/>
                <w:szCs w:val="22"/>
                <w:lang w:eastAsia="zh-CN"/>
              </w:rPr>
              <w:t>Rastuća inflacija koja utječe na tržište</w:t>
            </w:r>
          </w:p>
        </w:tc>
      </w:tr>
      <w:tr w:rsidR="00656FEA" w14:paraId="331F5AFA" w14:textId="77777777" w:rsidTr="00D71817">
        <w:trPr>
          <w:trHeight w:val="340"/>
        </w:trPr>
        <w:tc>
          <w:tcPr>
            <w:tcW w:w="4536" w:type="dxa"/>
          </w:tcPr>
          <w:p w14:paraId="2538DDEB" w14:textId="77777777" w:rsidR="00656FEA" w:rsidRPr="006B50A6" w:rsidRDefault="00656FEA" w:rsidP="00A920E6">
            <w:pPr>
              <w:rPr>
                <w:rFonts w:asciiTheme="minorHAnsi" w:hAnsiTheme="minorHAnsi" w:cstheme="minorHAnsi"/>
                <w:sz w:val="22"/>
                <w:szCs w:val="22"/>
                <w:lang w:eastAsia="zh-CN"/>
              </w:rPr>
            </w:pPr>
            <w:r w:rsidRPr="006B50A6">
              <w:rPr>
                <w:rFonts w:asciiTheme="minorHAnsi" w:hAnsiTheme="minorHAnsi" w:cstheme="minorHAnsi"/>
                <w:sz w:val="22"/>
                <w:szCs w:val="22"/>
                <w:lang w:eastAsia="zh-CN"/>
              </w:rPr>
              <w:t>Dostupnost EU fondova</w:t>
            </w:r>
          </w:p>
        </w:tc>
        <w:tc>
          <w:tcPr>
            <w:tcW w:w="4820" w:type="dxa"/>
          </w:tcPr>
          <w:p w14:paraId="11A647DB" w14:textId="77777777" w:rsidR="00656FEA" w:rsidRPr="006B50A6" w:rsidRDefault="00656FEA" w:rsidP="00A920E6">
            <w:pPr>
              <w:rPr>
                <w:rFonts w:asciiTheme="minorHAnsi" w:hAnsiTheme="minorHAnsi" w:cstheme="minorHAnsi"/>
                <w:sz w:val="22"/>
                <w:szCs w:val="22"/>
                <w:lang w:eastAsia="zh-CN"/>
              </w:rPr>
            </w:pPr>
            <w:r w:rsidRPr="006B50A6">
              <w:rPr>
                <w:rFonts w:asciiTheme="minorHAnsi" w:hAnsiTheme="minorHAnsi" w:cstheme="minorHAnsi"/>
                <w:sz w:val="22"/>
                <w:szCs w:val="22"/>
                <w:lang w:eastAsia="zh-CN"/>
              </w:rPr>
              <w:t>Energetska kriza i ratovi</w:t>
            </w:r>
          </w:p>
        </w:tc>
      </w:tr>
      <w:tr w:rsidR="00656FEA" w14:paraId="298FD1AE" w14:textId="77777777" w:rsidTr="00D71817">
        <w:trPr>
          <w:trHeight w:val="340"/>
        </w:trPr>
        <w:tc>
          <w:tcPr>
            <w:tcW w:w="9356" w:type="dxa"/>
            <w:gridSpan w:val="2"/>
          </w:tcPr>
          <w:p w14:paraId="1B7318EC" w14:textId="77777777" w:rsidR="00656FEA" w:rsidRPr="006B50A6" w:rsidRDefault="00656FEA" w:rsidP="00A920E6">
            <w:pPr>
              <w:jc w:val="center"/>
              <w:rPr>
                <w:rFonts w:asciiTheme="minorHAnsi" w:hAnsiTheme="minorHAnsi" w:cstheme="minorHAnsi"/>
                <w:b/>
                <w:sz w:val="22"/>
                <w:szCs w:val="22"/>
                <w:lang w:eastAsia="zh-CN"/>
              </w:rPr>
            </w:pPr>
            <w:r w:rsidRPr="006B50A6">
              <w:rPr>
                <w:rFonts w:asciiTheme="minorHAnsi" w:hAnsiTheme="minorHAnsi" w:cstheme="minorHAnsi"/>
                <w:b/>
                <w:sz w:val="22"/>
                <w:szCs w:val="22"/>
                <w:lang w:eastAsia="zh-CN"/>
              </w:rPr>
              <w:t>SOCIJALNO OKRUŽENJE</w:t>
            </w:r>
          </w:p>
        </w:tc>
      </w:tr>
      <w:tr w:rsidR="00656FEA" w14:paraId="4F5FC091" w14:textId="77777777" w:rsidTr="00D71817">
        <w:trPr>
          <w:trHeight w:val="340"/>
        </w:trPr>
        <w:tc>
          <w:tcPr>
            <w:tcW w:w="4536" w:type="dxa"/>
            <w:shd w:val="clear" w:color="auto" w:fill="BDD6EE" w:themeFill="accent1" w:themeFillTint="66"/>
          </w:tcPr>
          <w:p w14:paraId="0D6BBFAE" w14:textId="77777777" w:rsidR="00656FEA" w:rsidRPr="006B50A6" w:rsidRDefault="00656FEA" w:rsidP="00A920E6">
            <w:pPr>
              <w:rPr>
                <w:rFonts w:asciiTheme="minorHAnsi" w:hAnsiTheme="minorHAnsi" w:cstheme="minorHAnsi"/>
                <w:sz w:val="22"/>
                <w:szCs w:val="22"/>
                <w:lang w:eastAsia="zh-CN"/>
              </w:rPr>
            </w:pPr>
            <w:r w:rsidRPr="006B50A6">
              <w:rPr>
                <w:rFonts w:asciiTheme="minorHAnsi" w:hAnsiTheme="minorHAnsi" w:cstheme="minorHAnsi"/>
                <w:sz w:val="22"/>
                <w:szCs w:val="22"/>
                <w:lang w:eastAsia="zh-CN"/>
              </w:rPr>
              <w:t>Pozitivni čimbenici</w:t>
            </w:r>
          </w:p>
        </w:tc>
        <w:tc>
          <w:tcPr>
            <w:tcW w:w="4820" w:type="dxa"/>
            <w:shd w:val="clear" w:color="auto" w:fill="BDD6EE" w:themeFill="accent1" w:themeFillTint="66"/>
          </w:tcPr>
          <w:p w14:paraId="79A523EA" w14:textId="77777777" w:rsidR="00656FEA" w:rsidRPr="006B50A6" w:rsidRDefault="00656FEA" w:rsidP="00A920E6">
            <w:pPr>
              <w:rPr>
                <w:rFonts w:asciiTheme="minorHAnsi" w:hAnsiTheme="minorHAnsi" w:cstheme="minorHAnsi"/>
                <w:sz w:val="22"/>
                <w:szCs w:val="22"/>
                <w:lang w:eastAsia="zh-CN"/>
              </w:rPr>
            </w:pPr>
            <w:r w:rsidRPr="006B50A6">
              <w:rPr>
                <w:rFonts w:asciiTheme="minorHAnsi" w:hAnsiTheme="minorHAnsi" w:cstheme="minorHAnsi"/>
                <w:sz w:val="22"/>
                <w:szCs w:val="22"/>
                <w:lang w:eastAsia="zh-CN"/>
              </w:rPr>
              <w:t>Negativni čimbenici</w:t>
            </w:r>
          </w:p>
        </w:tc>
      </w:tr>
      <w:tr w:rsidR="00656FEA" w14:paraId="61D6C9DD" w14:textId="77777777" w:rsidTr="00D71817">
        <w:trPr>
          <w:trHeight w:val="340"/>
        </w:trPr>
        <w:tc>
          <w:tcPr>
            <w:tcW w:w="4536" w:type="dxa"/>
          </w:tcPr>
          <w:p w14:paraId="276B5E8F" w14:textId="77777777" w:rsidR="00656FEA" w:rsidRPr="006B50A6" w:rsidRDefault="00656FEA" w:rsidP="00A920E6">
            <w:pPr>
              <w:rPr>
                <w:rFonts w:asciiTheme="minorHAnsi" w:hAnsiTheme="minorHAnsi" w:cstheme="minorHAnsi"/>
                <w:sz w:val="22"/>
                <w:szCs w:val="22"/>
                <w:lang w:eastAsia="zh-CN"/>
              </w:rPr>
            </w:pPr>
            <w:r w:rsidRPr="006B50A6">
              <w:rPr>
                <w:rFonts w:asciiTheme="minorHAnsi" w:hAnsiTheme="minorHAnsi" w:cstheme="minorHAnsi"/>
                <w:sz w:val="22"/>
                <w:szCs w:val="22"/>
                <w:lang w:eastAsia="zh-CN"/>
              </w:rPr>
              <w:t>Prepoznavanje važnosti prometnog razvoja kao ključa povezivanja i povećanja kvalitete života</w:t>
            </w:r>
          </w:p>
        </w:tc>
        <w:tc>
          <w:tcPr>
            <w:tcW w:w="4820" w:type="dxa"/>
          </w:tcPr>
          <w:p w14:paraId="5D174C4B" w14:textId="77777777" w:rsidR="00656FEA" w:rsidRPr="006B50A6" w:rsidRDefault="00656FEA" w:rsidP="00A920E6">
            <w:pPr>
              <w:rPr>
                <w:rFonts w:asciiTheme="minorHAnsi" w:hAnsiTheme="minorHAnsi" w:cstheme="minorHAnsi"/>
                <w:sz w:val="22"/>
                <w:szCs w:val="22"/>
                <w:lang w:eastAsia="zh-CN"/>
              </w:rPr>
            </w:pPr>
            <w:r w:rsidRPr="006B50A6">
              <w:rPr>
                <w:rFonts w:asciiTheme="minorHAnsi" w:hAnsiTheme="minorHAnsi" w:cstheme="minorHAnsi"/>
                <w:sz w:val="22"/>
                <w:szCs w:val="22"/>
                <w:lang w:eastAsia="zh-CN"/>
              </w:rPr>
              <w:t>Negativna percepcija prometnih postignuća</w:t>
            </w:r>
          </w:p>
        </w:tc>
      </w:tr>
      <w:tr w:rsidR="00656FEA" w14:paraId="090928AD" w14:textId="77777777" w:rsidTr="00D71817">
        <w:trPr>
          <w:trHeight w:val="340"/>
        </w:trPr>
        <w:tc>
          <w:tcPr>
            <w:tcW w:w="4536" w:type="dxa"/>
          </w:tcPr>
          <w:p w14:paraId="080AFD5A" w14:textId="0656B051" w:rsidR="00656FEA" w:rsidRPr="006B50A6" w:rsidRDefault="00656FEA" w:rsidP="00A920E6">
            <w:pPr>
              <w:rPr>
                <w:rFonts w:asciiTheme="minorHAnsi" w:hAnsiTheme="minorHAnsi" w:cstheme="minorHAnsi"/>
                <w:sz w:val="22"/>
                <w:szCs w:val="22"/>
                <w:lang w:eastAsia="zh-CN"/>
              </w:rPr>
            </w:pPr>
            <w:r w:rsidRPr="006B50A6">
              <w:rPr>
                <w:rFonts w:asciiTheme="minorHAnsi" w:hAnsiTheme="minorHAnsi" w:cstheme="minorHAnsi"/>
                <w:sz w:val="22"/>
                <w:szCs w:val="22"/>
                <w:lang w:eastAsia="zh-CN"/>
              </w:rPr>
              <w:t>Jačanje svijesti dionika o odgovornom i održivom prometnom razvoj</w:t>
            </w:r>
            <w:r w:rsidR="00D11D3A">
              <w:rPr>
                <w:rFonts w:asciiTheme="minorHAnsi" w:hAnsiTheme="minorHAnsi" w:cstheme="minorHAnsi"/>
                <w:sz w:val="22"/>
                <w:szCs w:val="22"/>
                <w:lang w:eastAsia="zh-CN"/>
              </w:rPr>
              <w:t>u</w:t>
            </w:r>
          </w:p>
        </w:tc>
        <w:tc>
          <w:tcPr>
            <w:tcW w:w="4820" w:type="dxa"/>
          </w:tcPr>
          <w:p w14:paraId="28A625E9" w14:textId="77777777" w:rsidR="00656FEA" w:rsidRPr="006B50A6" w:rsidRDefault="00656FEA" w:rsidP="00A920E6">
            <w:pPr>
              <w:rPr>
                <w:rFonts w:asciiTheme="minorHAnsi" w:hAnsiTheme="minorHAnsi" w:cstheme="minorHAnsi"/>
                <w:sz w:val="22"/>
                <w:szCs w:val="22"/>
                <w:lang w:eastAsia="zh-CN"/>
              </w:rPr>
            </w:pPr>
            <w:r w:rsidRPr="006B50A6">
              <w:rPr>
                <w:rFonts w:asciiTheme="minorHAnsi" w:hAnsiTheme="minorHAnsi" w:cstheme="minorHAnsi"/>
                <w:sz w:val="22"/>
                <w:szCs w:val="22"/>
                <w:lang w:eastAsia="zh-CN"/>
              </w:rPr>
              <w:t>Neujednačena povezanost između regija</w:t>
            </w:r>
          </w:p>
        </w:tc>
      </w:tr>
      <w:tr w:rsidR="00656FEA" w14:paraId="65075BEE" w14:textId="77777777" w:rsidTr="00D71817">
        <w:trPr>
          <w:trHeight w:val="340"/>
        </w:trPr>
        <w:tc>
          <w:tcPr>
            <w:tcW w:w="9356" w:type="dxa"/>
            <w:gridSpan w:val="2"/>
          </w:tcPr>
          <w:p w14:paraId="3F6A1DD5" w14:textId="77777777" w:rsidR="00656FEA" w:rsidRPr="006B50A6" w:rsidRDefault="00656FEA" w:rsidP="00A920E6">
            <w:pPr>
              <w:jc w:val="center"/>
              <w:rPr>
                <w:rFonts w:asciiTheme="minorHAnsi" w:hAnsiTheme="minorHAnsi" w:cstheme="minorHAnsi"/>
                <w:b/>
                <w:sz w:val="22"/>
                <w:szCs w:val="22"/>
                <w:lang w:eastAsia="zh-CN"/>
              </w:rPr>
            </w:pPr>
            <w:r w:rsidRPr="006B50A6">
              <w:rPr>
                <w:rFonts w:asciiTheme="minorHAnsi" w:hAnsiTheme="minorHAnsi" w:cstheme="minorHAnsi"/>
                <w:b/>
                <w:sz w:val="22"/>
                <w:szCs w:val="22"/>
                <w:lang w:eastAsia="zh-CN"/>
              </w:rPr>
              <w:t>TEHNOLOŠKO OKRUŽENJE</w:t>
            </w:r>
          </w:p>
        </w:tc>
      </w:tr>
      <w:tr w:rsidR="00656FEA" w14:paraId="7822D7CC" w14:textId="77777777" w:rsidTr="00D71817">
        <w:trPr>
          <w:trHeight w:val="340"/>
        </w:trPr>
        <w:tc>
          <w:tcPr>
            <w:tcW w:w="4536" w:type="dxa"/>
            <w:shd w:val="clear" w:color="auto" w:fill="BDD6EE" w:themeFill="accent1" w:themeFillTint="66"/>
          </w:tcPr>
          <w:p w14:paraId="665E9459" w14:textId="77777777" w:rsidR="00656FEA" w:rsidRPr="006B50A6" w:rsidRDefault="00656FEA" w:rsidP="00A920E6">
            <w:pPr>
              <w:rPr>
                <w:rFonts w:asciiTheme="minorHAnsi" w:hAnsiTheme="minorHAnsi" w:cstheme="minorHAnsi"/>
                <w:sz w:val="22"/>
                <w:szCs w:val="22"/>
                <w:lang w:eastAsia="zh-CN"/>
              </w:rPr>
            </w:pPr>
            <w:r w:rsidRPr="006B50A6">
              <w:rPr>
                <w:rFonts w:asciiTheme="minorHAnsi" w:hAnsiTheme="minorHAnsi" w:cstheme="minorHAnsi"/>
                <w:sz w:val="22"/>
                <w:szCs w:val="22"/>
                <w:lang w:eastAsia="zh-CN"/>
              </w:rPr>
              <w:t>Pozitivni čimbenici</w:t>
            </w:r>
          </w:p>
        </w:tc>
        <w:tc>
          <w:tcPr>
            <w:tcW w:w="4820" w:type="dxa"/>
            <w:shd w:val="clear" w:color="auto" w:fill="BDD6EE" w:themeFill="accent1" w:themeFillTint="66"/>
          </w:tcPr>
          <w:p w14:paraId="556E00D5" w14:textId="77777777" w:rsidR="00656FEA" w:rsidRPr="006B50A6" w:rsidRDefault="00656FEA" w:rsidP="00A920E6">
            <w:pPr>
              <w:rPr>
                <w:rFonts w:asciiTheme="minorHAnsi" w:hAnsiTheme="minorHAnsi" w:cstheme="minorHAnsi"/>
                <w:sz w:val="22"/>
                <w:szCs w:val="22"/>
                <w:lang w:eastAsia="zh-CN"/>
              </w:rPr>
            </w:pPr>
            <w:r w:rsidRPr="006B50A6">
              <w:rPr>
                <w:rFonts w:asciiTheme="minorHAnsi" w:hAnsiTheme="minorHAnsi" w:cstheme="minorHAnsi"/>
                <w:sz w:val="22"/>
                <w:szCs w:val="22"/>
                <w:lang w:eastAsia="zh-CN"/>
              </w:rPr>
              <w:t>Negativni čimbenici</w:t>
            </w:r>
          </w:p>
        </w:tc>
      </w:tr>
      <w:tr w:rsidR="00656FEA" w14:paraId="7D713093" w14:textId="77777777" w:rsidTr="00D71817">
        <w:trPr>
          <w:trHeight w:val="836"/>
        </w:trPr>
        <w:tc>
          <w:tcPr>
            <w:tcW w:w="4536" w:type="dxa"/>
            <w:shd w:val="clear" w:color="auto" w:fill="auto"/>
          </w:tcPr>
          <w:p w14:paraId="65BA52E0" w14:textId="7EF2F0B6" w:rsidR="00656FEA" w:rsidRPr="006B50A6" w:rsidRDefault="00656FEA" w:rsidP="00A920E6">
            <w:pPr>
              <w:rPr>
                <w:rFonts w:asciiTheme="minorHAnsi" w:hAnsiTheme="minorHAnsi" w:cstheme="minorHAnsi"/>
                <w:sz w:val="22"/>
                <w:szCs w:val="22"/>
                <w:lang w:eastAsia="zh-CN"/>
              </w:rPr>
            </w:pPr>
            <w:r w:rsidRPr="006B50A6">
              <w:rPr>
                <w:rFonts w:asciiTheme="minorHAnsi" w:hAnsiTheme="minorHAnsi" w:cstheme="minorHAnsi"/>
                <w:sz w:val="22"/>
                <w:szCs w:val="22"/>
                <w:lang w:eastAsia="zh-CN"/>
              </w:rPr>
              <w:t>Razvoj  informacijsko-komunikacijskih i drugih  novih  tehnologija koje mijenjaju  struktu</w:t>
            </w:r>
            <w:r w:rsidR="00314A95">
              <w:rPr>
                <w:rFonts w:asciiTheme="minorHAnsi" w:hAnsiTheme="minorHAnsi" w:cstheme="minorHAnsi"/>
                <w:sz w:val="22"/>
                <w:szCs w:val="22"/>
                <w:lang w:eastAsia="zh-CN"/>
              </w:rPr>
              <w:t>ru potražnje na tržištu rada</w:t>
            </w:r>
          </w:p>
        </w:tc>
        <w:tc>
          <w:tcPr>
            <w:tcW w:w="4820" w:type="dxa"/>
            <w:shd w:val="clear" w:color="auto" w:fill="auto"/>
          </w:tcPr>
          <w:p w14:paraId="380A47CC" w14:textId="77777777" w:rsidR="00656FEA" w:rsidRPr="006B50A6" w:rsidRDefault="00656FEA" w:rsidP="00A920E6">
            <w:pPr>
              <w:rPr>
                <w:rFonts w:asciiTheme="minorHAnsi" w:hAnsiTheme="minorHAnsi" w:cstheme="minorHAnsi"/>
                <w:sz w:val="22"/>
                <w:szCs w:val="22"/>
                <w:lang w:eastAsia="zh-CN"/>
              </w:rPr>
            </w:pPr>
            <w:r w:rsidRPr="006B50A6">
              <w:rPr>
                <w:rFonts w:asciiTheme="minorHAnsi" w:hAnsiTheme="minorHAnsi" w:cstheme="minorHAnsi"/>
                <w:sz w:val="22"/>
                <w:szCs w:val="22"/>
                <w:lang w:eastAsia="zh-CN"/>
              </w:rPr>
              <w:t>Usporena implementacija svih raspoloživih IT funkcionalnosti</w:t>
            </w:r>
          </w:p>
        </w:tc>
      </w:tr>
      <w:tr w:rsidR="00656FEA" w14:paraId="5246650E" w14:textId="77777777" w:rsidTr="00D71817">
        <w:trPr>
          <w:trHeight w:val="340"/>
        </w:trPr>
        <w:tc>
          <w:tcPr>
            <w:tcW w:w="4536" w:type="dxa"/>
            <w:shd w:val="clear" w:color="auto" w:fill="auto"/>
          </w:tcPr>
          <w:p w14:paraId="7A6184F0" w14:textId="77777777" w:rsidR="00656FEA" w:rsidRPr="006B50A6" w:rsidRDefault="00656FEA" w:rsidP="00A920E6">
            <w:pPr>
              <w:rPr>
                <w:rFonts w:asciiTheme="minorHAnsi" w:hAnsiTheme="minorHAnsi" w:cstheme="minorHAnsi"/>
                <w:sz w:val="22"/>
                <w:szCs w:val="22"/>
                <w:lang w:eastAsia="zh-CN"/>
              </w:rPr>
            </w:pPr>
            <w:r w:rsidRPr="006B50A6">
              <w:rPr>
                <w:rFonts w:asciiTheme="minorHAnsi" w:hAnsiTheme="minorHAnsi" w:cstheme="minorHAnsi"/>
                <w:sz w:val="22"/>
                <w:szCs w:val="22"/>
                <w:lang w:eastAsia="zh-CN"/>
              </w:rPr>
              <w:t>Pametni prometni sustavi</w:t>
            </w:r>
          </w:p>
        </w:tc>
        <w:tc>
          <w:tcPr>
            <w:tcW w:w="4820" w:type="dxa"/>
            <w:shd w:val="clear" w:color="auto" w:fill="auto"/>
          </w:tcPr>
          <w:p w14:paraId="0A35F00A" w14:textId="77777777" w:rsidR="00656FEA" w:rsidRPr="006B50A6" w:rsidRDefault="00656FEA" w:rsidP="00A920E6">
            <w:pPr>
              <w:rPr>
                <w:rFonts w:asciiTheme="minorHAnsi" w:hAnsiTheme="minorHAnsi" w:cstheme="minorHAnsi"/>
                <w:sz w:val="22"/>
                <w:szCs w:val="22"/>
                <w:lang w:eastAsia="zh-CN"/>
              </w:rPr>
            </w:pPr>
            <w:r w:rsidRPr="006B50A6">
              <w:rPr>
                <w:rFonts w:asciiTheme="minorHAnsi" w:hAnsiTheme="minorHAnsi" w:cstheme="minorHAnsi"/>
                <w:sz w:val="22"/>
                <w:szCs w:val="22"/>
                <w:lang w:eastAsia="zh-CN"/>
              </w:rPr>
              <w:t>Korištenje zastarjele tehnologije</w:t>
            </w:r>
          </w:p>
        </w:tc>
      </w:tr>
    </w:tbl>
    <w:p w14:paraId="25F79A02" w14:textId="19179A15" w:rsidR="00D15917" w:rsidRDefault="00D15917" w:rsidP="003409EF">
      <w:pPr>
        <w:spacing w:before="120" w:after="120" w:line="276" w:lineRule="auto"/>
        <w:jc w:val="both"/>
        <w:rPr>
          <w:rFonts w:ascii="Calibri" w:hAnsi="Calibri" w:cs="Calibri"/>
          <w:b/>
          <w:sz w:val="22"/>
          <w:szCs w:val="22"/>
        </w:rPr>
      </w:pPr>
    </w:p>
    <w:p w14:paraId="397ED84B" w14:textId="77777777" w:rsidR="00D15917" w:rsidRDefault="00D15917" w:rsidP="003409EF">
      <w:pPr>
        <w:spacing w:before="120" w:after="120" w:line="276" w:lineRule="auto"/>
        <w:jc w:val="both"/>
        <w:rPr>
          <w:rFonts w:ascii="Calibri" w:hAnsi="Calibri" w:cs="Calibri"/>
          <w:b/>
          <w:sz w:val="22"/>
          <w:szCs w:val="22"/>
        </w:rPr>
      </w:pPr>
    </w:p>
    <w:tbl>
      <w:tblPr>
        <w:tblStyle w:val="Reetkatablice"/>
        <w:tblW w:w="9356" w:type="dxa"/>
        <w:tblInd w:w="-5" w:type="dxa"/>
        <w:tblLook w:val="04A0" w:firstRow="1" w:lastRow="0" w:firstColumn="1" w:lastColumn="0" w:noHBand="0" w:noVBand="1"/>
      </w:tblPr>
      <w:tblGrid>
        <w:gridCol w:w="4536"/>
        <w:gridCol w:w="4820"/>
      </w:tblGrid>
      <w:tr w:rsidR="00D15917" w14:paraId="29C8D5A8" w14:textId="77777777" w:rsidTr="00A920E6">
        <w:trPr>
          <w:trHeight w:val="340"/>
        </w:trPr>
        <w:tc>
          <w:tcPr>
            <w:tcW w:w="9356" w:type="dxa"/>
            <w:gridSpan w:val="2"/>
            <w:shd w:val="clear" w:color="auto" w:fill="auto"/>
          </w:tcPr>
          <w:p w14:paraId="7C537BFF" w14:textId="77777777" w:rsidR="00D15917" w:rsidRPr="006B50A6" w:rsidRDefault="00D15917" w:rsidP="00A920E6">
            <w:pPr>
              <w:jc w:val="center"/>
              <w:rPr>
                <w:rFonts w:asciiTheme="minorHAnsi" w:hAnsiTheme="minorHAnsi" w:cstheme="minorHAnsi"/>
                <w:b/>
                <w:sz w:val="22"/>
                <w:szCs w:val="22"/>
                <w:lang w:eastAsia="zh-CN"/>
              </w:rPr>
            </w:pPr>
            <w:r w:rsidRPr="006B50A6">
              <w:rPr>
                <w:rFonts w:asciiTheme="minorHAnsi" w:hAnsiTheme="minorHAnsi" w:cstheme="minorHAnsi"/>
                <w:b/>
                <w:sz w:val="22"/>
                <w:szCs w:val="22"/>
                <w:lang w:eastAsia="zh-CN"/>
              </w:rPr>
              <w:t>OKOLIŠNO OKRUŽENJE</w:t>
            </w:r>
          </w:p>
        </w:tc>
      </w:tr>
      <w:tr w:rsidR="00D15917" w14:paraId="44C16EE4" w14:textId="77777777" w:rsidTr="00A920E6">
        <w:trPr>
          <w:trHeight w:val="340"/>
        </w:trPr>
        <w:tc>
          <w:tcPr>
            <w:tcW w:w="4536" w:type="dxa"/>
            <w:shd w:val="clear" w:color="auto" w:fill="BDD6EE" w:themeFill="accent1" w:themeFillTint="66"/>
          </w:tcPr>
          <w:p w14:paraId="18B956CA" w14:textId="77777777" w:rsidR="00D15917" w:rsidRPr="006B50A6" w:rsidRDefault="00D15917" w:rsidP="00A920E6">
            <w:pPr>
              <w:rPr>
                <w:rFonts w:asciiTheme="minorHAnsi" w:hAnsiTheme="minorHAnsi" w:cstheme="minorHAnsi"/>
                <w:sz w:val="22"/>
                <w:szCs w:val="22"/>
                <w:highlight w:val="lightGray"/>
                <w:lang w:eastAsia="zh-CN"/>
              </w:rPr>
            </w:pPr>
            <w:r w:rsidRPr="006B50A6">
              <w:rPr>
                <w:rFonts w:asciiTheme="minorHAnsi" w:hAnsiTheme="minorHAnsi" w:cstheme="minorHAnsi"/>
                <w:sz w:val="22"/>
                <w:szCs w:val="22"/>
                <w:lang w:eastAsia="zh-CN"/>
              </w:rPr>
              <w:t>Pozitivni čimbenici</w:t>
            </w:r>
          </w:p>
        </w:tc>
        <w:tc>
          <w:tcPr>
            <w:tcW w:w="4820" w:type="dxa"/>
            <w:shd w:val="clear" w:color="auto" w:fill="BDD6EE" w:themeFill="accent1" w:themeFillTint="66"/>
          </w:tcPr>
          <w:p w14:paraId="1943452C" w14:textId="77777777" w:rsidR="00D15917" w:rsidRPr="006B50A6" w:rsidRDefault="00D15917" w:rsidP="00A920E6">
            <w:pPr>
              <w:rPr>
                <w:rFonts w:asciiTheme="minorHAnsi" w:hAnsiTheme="minorHAnsi" w:cstheme="minorHAnsi"/>
                <w:sz w:val="22"/>
                <w:szCs w:val="22"/>
                <w:highlight w:val="lightGray"/>
                <w:lang w:eastAsia="zh-CN"/>
              </w:rPr>
            </w:pPr>
            <w:r w:rsidRPr="00957974">
              <w:rPr>
                <w:rFonts w:asciiTheme="minorHAnsi" w:hAnsiTheme="minorHAnsi" w:cstheme="minorHAnsi"/>
                <w:sz w:val="22"/>
                <w:szCs w:val="22"/>
                <w:lang w:eastAsia="zh-CN"/>
              </w:rPr>
              <w:t>Negativni čimbenici</w:t>
            </w:r>
          </w:p>
        </w:tc>
      </w:tr>
      <w:tr w:rsidR="00D15917" w14:paraId="26C74BCA" w14:textId="77777777" w:rsidTr="00A920E6">
        <w:trPr>
          <w:trHeight w:val="340"/>
        </w:trPr>
        <w:tc>
          <w:tcPr>
            <w:tcW w:w="4536" w:type="dxa"/>
            <w:shd w:val="clear" w:color="auto" w:fill="auto"/>
          </w:tcPr>
          <w:p w14:paraId="4BC80CB9" w14:textId="77777777" w:rsidR="00D15917" w:rsidRPr="006B50A6" w:rsidRDefault="00D15917" w:rsidP="00A920E6">
            <w:pPr>
              <w:rPr>
                <w:rFonts w:asciiTheme="minorHAnsi" w:hAnsiTheme="minorHAnsi" w:cstheme="minorHAnsi"/>
                <w:sz w:val="22"/>
                <w:szCs w:val="22"/>
                <w:lang w:eastAsia="zh-CN"/>
              </w:rPr>
            </w:pPr>
            <w:r w:rsidRPr="006B50A6">
              <w:rPr>
                <w:rFonts w:asciiTheme="minorHAnsi" w:hAnsiTheme="minorHAnsi" w:cstheme="minorHAnsi"/>
                <w:sz w:val="22"/>
                <w:szCs w:val="22"/>
                <w:lang w:eastAsia="zh-CN"/>
              </w:rPr>
              <w:t>Poticanje održivog oblika prijevoza</w:t>
            </w:r>
          </w:p>
        </w:tc>
        <w:tc>
          <w:tcPr>
            <w:tcW w:w="4820" w:type="dxa"/>
            <w:shd w:val="clear" w:color="auto" w:fill="auto"/>
          </w:tcPr>
          <w:p w14:paraId="549D04A0" w14:textId="77777777" w:rsidR="00D15917" w:rsidRPr="006B50A6" w:rsidRDefault="00D15917" w:rsidP="00A920E6">
            <w:pPr>
              <w:rPr>
                <w:rFonts w:asciiTheme="minorHAnsi" w:hAnsiTheme="minorHAnsi" w:cstheme="minorHAnsi"/>
                <w:sz w:val="22"/>
                <w:szCs w:val="22"/>
                <w:lang w:eastAsia="zh-CN"/>
              </w:rPr>
            </w:pPr>
            <w:r w:rsidRPr="006B50A6">
              <w:rPr>
                <w:rFonts w:asciiTheme="minorHAnsi" w:hAnsiTheme="minorHAnsi" w:cstheme="minorHAnsi"/>
                <w:sz w:val="22"/>
                <w:szCs w:val="22"/>
                <w:lang w:eastAsia="zh-CN"/>
              </w:rPr>
              <w:t>Potencijalno negativni učinak velikih infrastrukturnih projekata na prirodu i staništa</w:t>
            </w:r>
          </w:p>
        </w:tc>
      </w:tr>
      <w:tr w:rsidR="00D15917" w14:paraId="64BD813B" w14:textId="77777777" w:rsidTr="00A920E6">
        <w:trPr>
          <w:trHeight w:val="340"/>
        </w:trPr>
        <w:tc>
          <w:tcPr>
            <w:tcW w:w="9356" w:type="dxa"/>
            <w:gridSpan w:val="2"/>
            <w:shd w:val="clear" w:color="auto" w:fill="auto"/>
          </w:tcPr>
          <w:p w14:paraId="46B339CE" w14:textId="77777777" w:rsidR="00D15917" w:rsidRPr="006B50A6" w:rsidRDefault="00D15917" w:rsidP="00A920E6">
            <w:pPr>
              <w:jc w:val="center"/>
              <w:rPr>
                <w:rFonts w:asciiTheme="minorHAnsi" w:hAnsiTheme="minorHAnsi" w:cstheme="minorHAnsi"/>
                <w:b/>
                <w:sz w:val="22"/>
                <w:szCs w:val="22"/>
                <w:lang w:eastAsia="zh-CN"/>
              </w:rPr>
            </w:pPr>
            <w:r w:rsidRPr="006B50A6">
              <w:rPr>
                <w:rFonts w:asciiTheme="minorHAnsi" w:hAnsiTheme="minorHAnsi" w:cstheme="minorHAnsi"/>
                <w:b/>
                <w:sz w:val="22"/>
                <w:szCs w:val="22"/>
                <w:lang w:eastAsia="zh-CN"/>
              </w:rPr>
              <w:t>PRAVNO OKRUŽENJE</w:t>
            </w:r>
          </w:p>
        </w:tc>
      </w:tr>
      <w:tr w:rsidR="00D15917" w14:paraId="29F44CE7" w14:textId="77777777" w:rsidTr="00A920E6">
        <w:trPr>
          <w:trHeight w:val="340"/>
        </w:trPr>
        <w:tc>
          <w:tcPr>
            <w:tcW w:w="4536" w:type="dxa"/>
            <w:shd w:val="clear" w:color="auto" w:fill="BDD6EE" w:themeFill="accent1" w:themeFillTint="66"/>
          </w:tcPr>
          <w:p w14:paraId="551395C4" w14:textId="77777777" w:rsidR="00D15917" w:rsidRPr="006B50A6" w:rsidRDefault="00D15917" w:rsidP="00A920E6">
            <w:pPr>
              <w:rPr>
                <w:rFonts w:asciiTheme="minorHAnsi" w:hAnsiTheme="minorHAnsi" w:cstheme="minorHAnsi"/>
                <w:sz w:val="22"/>
                <w:szCs w:val="22"/>
                <w:lang w:eastAsia="zh-CN"/>
              </w:rPr>
            </w:pPr>
            <w:r w:rsidRPr="006B50A6">
              <w:rPr>
                <w:rFonts w:asciiTheme="minorHAnsi" w:hAnsiTheme="minorHAnsi" w:cstheme="minorHAnsi"/>
                <w:sz w:val="22"/>
                <w:szCs w:val="22"/>
                <w:lang w:eastAsia="zh-CN"/>
              </w:rPr>
              <w:t>Pozitivni čimbenici</w:t>
            </w:r>
          </w:p>
        </w:tc>
        <w:tc>
          <w:tcPr>
            <w:tcW w:w="4820" w:type="dxa"/>
            <w:shd w:val="clear" w:color="auto" w:fill="BDD6EE" w:themeFill="accent1" w:themeFillTint="66"/>
          </w:tcPr>
          <w:p w14:paraId="6B65582B" w14:textId="77777777" w:rsidR="00D15917" w:rsidRPr="006B50A6" w:rsidRDefault="00D15917" w:rsidP="00A920E6">
            <w:pPr>
              <w:rPr>
                <w:rFonts w:asciiTheme="minorHAnsi" w:hAnsiTheme="minorHAnsi" w:cstheme="minorHAnsi"/>
                <w:sz w:val="22"/>
                <w:szCs w:val="22"/>
                <w:lang w:eastAsia="zh-CN"/>
              </w:rPr>
            </w:pPr>
            <w:r w:rsidRPr="006B50A6">
              <w:rPr>
                <w:rFonts w:asciiTheme="minorHAnsi" w:hAnsiTheme="minorHAnsi" w:cstheme="minorHAnsi"/>
                <w:sz w:val="22"/>
                <w:szCs w:val="22"/>
                <w:lang w:eastAsia="zh-CN"/>
              </w:rPr>
              <w:t>Negativni čimbenici</w:t>
            </w:r>
          </w:p>
        </w:tc>
      </w:tr>
      <w:tr w:rsidR="00D15917" w14:paraId="2CBEA058" w14:textId="77777777" w:rsidTr="00A920E6">
        <w:trPr>
          <w:trHeight w:val="340"/>
        </w:trPr>
        <w:tc>
          <w:tcPr>
            <w:tcW w:w="4536" w:type="dxa"/>
            <w:shd w:val="clear" w:color="auto" w:fill="auto"/>
          </w:tcPr>
          <w:p w14:paraId="1C370752" w14:textId="77777777" w:rsidR="00D15917" w:rsidRPr="006B50A6" w:rsidRDefault="00D15917" w:rsidP="00A920E6">
            <w:pPr>
              <w:rPr>
                <w:rFonts w:asciiTheme="minorHAnsi" w:hAnsiTheme="minorHAnsi" w:cstheme="minorHAnsi"/>
                <w:sz w:val="22"/>
                <w:szCs w:val="22"/>
                <w:lang w:eastAsia="zh-CN"/>
              </w:rPr>
            </w:pPr>
            <w:r w:rsidRPr="006B50A6">
              <w:rPr>
                <w:rFonts w:asciiTheme="minorHAnsi" w:hAnsiTheme="minorHAnsi" w:cstheme="minorHAnsi"/>
                <w:sz w:val="22"/>
                <w:szCs w:val="22"/>
                <w:lang w:eastAsia="zh-CN"/>
              </w:rPr>
              <w:t>Poticanje održivog razvoja kroz strateške dokumente i zakonske okvire</w:t>
            </w:r>
          </w:p>
        </w:tc>
        <w:tc>
          <w:tcPr>
            <w:tcW w:w="4820" w:type="dxa"/>
            <w:shd w:val="clear" w:color="auto" w:fill="auto"/>
          </w:tcPr>
          <w:p w14:paraId="0620A09F" w14:textId="77777777" w:rsidR="00D15917" w:rsidRPr="006B50A6" w:rsidRDefault="00D15917" w:rsidP="00A920E6">
            <w:pPr>
              <w:rPr>
                <w:rFonts w:asciiTheme="minorHAnsi" w:hAnsiTheme="minorHAnsi" w:cstheme="minorHAnsi"/>
                <w:sz w:val="22"/>
                <w:szCs w:val="22"/>
                <w:lang w:eastAsia="zh-CN"/>
              </w:rPr>
            </w:pPr>
            <w:r w:rsidRPr="006B50A6">
              <w:rPr>
                <w:rFonts w:asciiTheme="minorHAnsi" w:hAnsiTheme="minorHAnsi" w:cstheme="minorHAnsi"/>
                <w:sz w:val="22"/>
                <w:szCs w:val="22"/>
                <w:lang w:eastAsia="zh-CN"/>
              </w:rPr>
              <w:t>Spora administracija i poteškoće u rješavanju imo</w:t>
            </w:r>
            <w:r>
              <w:rPr>
                <w:rFonts w:asciiTheme="minorHAnsi" w:hAnsiTheme="minorHAnsi" w:cstheme="minorHAnsi"/>
                <w:sz w:val="22"/>
                <w:szCs w:val="22"/>
                <w:lang w:eastAsia="zh-CN"/>
              </w:rPr>
              <w:t xml:space="preserve">vinsko-pravnih odnosa (npr. </w:t>
            </w:r>
            <w:r w:rsidRPr="006B50A6">
              <w:rPr>
                <w:rFonts w:asciiTheme="minorHAnsi" w:hAnsiTheme="minorHAnsi" w:cstheme="minorHAnsi"/>
                <w:sz w:val="22"/>
                <w:szCs w:val="22"/>
                <w:lang w:eastAsia="zh-CN"/>
              </w:rPr>
              <w:t>vlasništva zemljišta itd.)</w:t>
            </w:r>
          </w:p>
        </w:tc>
      </w:tr>
    </w:tbl>
    <w:p w14:paraId="00E36757" w14:textId="319CE64C" w:rsidR="00D15917" w:rsidRDefault="00D15917" w:rsidP="00D15917">
      <w:pPr>
        <w:spacing w:after="160" w:line="259" w:lineRule="auto"/>
        <w:rPr>
          <w:rFonts w:ascii="Calibri" w:hAnsi="Calibri" w:cs="Calibri"/>
          <w:b/>
          <w:sz w:val="22"/>
          <w:szCs w:val="22"/>
        </w:rPr>
      </w:pPr>
    </w:p>
    <w:p w14:paraId="6B3BC8F9" w14:textId="77777777" w:rsidR="007355D9" w:rsidRDefault="007355D9" w:rsidP="00D15917">
      <w:pPr>
        <w:spacing w:after="160" w:line="259" w:lineRule="auto"/>
        <w:rPr>
          <w:rFonts w:ascii="Calibri" w:hAnsi="Calibri" w:cs="Calibri"/>
          <w:b/>
          <w:sz w:val="22"/>
          <w:szCs w:val="22"/>
        </w:rPr>
      </w:pPr>
    </w:p>
    <w:p w14:paraId="5316E9DD" w14:textId="570C438B" w:rsidR="00D15917" w:rsidRPr="00141DEA" w:rsidRDefault="001B4D2C" w:rsidP="00D15917">
      <w:pPr>
        <w:pStyle w:val="Stil1"/>
      </w:pPr>
      <w:bookmarkStart w:id="10" w:name="_Toc221536524"/>
      <w:r w:rsidRPr="00141DEA">
        <w:t>S</w:t>
      </w:r>
      <w:r w:rsidR="00710E12" w:rsidRPr="00141DEA">
        <w:t>WOT analiza</w:t>
      </w:r>
      <w:bookmarkEnd w:id="10"/>
    </w:p>
    <w:p w14:paraId="0C87FF92" w14:textId="77777777" w:rsidR="00D15917" w:rsidRPr="00D15917" w:rsidRDefault="00D15917" w:rsidP="00D15917">
      <w:pPr>
        <w:pStyle w:val="Stil1"/>
        <w:numPr>
          <w:ilvl w:val="0"/>
          <w:numId w:val="0"/>
        </w:numPr>
        <w:spacing w:before="0" w:after="0"/>
        <w:ind w:left="360"/>
        <w:rPr>
          <w:highlight w:val="yellow"/>
        </w:rPr>
      </w:pPr>
    </w:p>
    <w:tbl>
      <w:tblPr>
        <w:tblStyle w:val="Reetkatablice"/>
        <w:tblW w:w="0" w:type="auto"/>
        <w:tblLook w:val="04A0" w:firstRow="1" w:lastRow="0" w:firstColumn="1" w:lastColumn="0" w:noHBand="0" w:noVBand="1"/>
      </w:tblPr>
      <w:tblGrid>
        <w:gridCol w:w="4673"/>
        <w:gridCol w:w="4344"/>
      </w:tblGrid>
      <w:tr w:rsidR="00710E12" w14:paraId="7033B527" w14:textId="77777777" w:rsidTr="00314A95">
        <w:trPr>
          <w:trHeight w:val="457"/>
        </w:trPr>
        <w:tc>
          <w:tcPr>
            <w:tcW w:w="4673" w:type="dxa"/>
          </w:tcPr>
          <w:p w14:paraId="5F5DA479" w14:textId="5D00B1CD" w:rsidR="00710E12" w:rsidRPr="00710E12" w:rsidRDefault="00710E12" w:rsidP="00710E12">
            <w:pPr>
              <w:spacing w:before="120" w:after="120" w:line="276" w:lineRule="auto"/>
              <w:jc w:val="center"/>
              <w:rPr>
                <w:rFonts w:ascii="Calibri" w:hAnsi="Calibri" w:cs="Calibri"/>
                <w:b/>
                <w:sz w:val="22"/>
                <w:szCs w:val="22"/>
              </w:rPr>
            </w:pPr>
            <w:r w:rsidRPr="00710E12">
              <w:rPr>
                <w:rFonts w:ascii="Calibri" w:hAnsi="Calibri" w:cs="Calibri"/>
                <w:b/>
                <w:sz w:val="22"/>
                <w:szCs w:val="22"/>
              </w:rPr>
              <w:t>SNAGE</w:t>
            </w:r>
          </w:p>
        </w:tc>
        <w:tc>
          <w:tcPr>
            <w:tcW w:w="4344" w:type="dxa"/>
          </w:tcPr>
          <w:p w14:paraId="267BA347" w14:textId="1FC15F76" w:rsidR="00710E12" w:rsidRPr="00710E12" w:rsidRDefault="00710E12" w:rsidP="00710E12">
            <w:pPr>
              <w:spacing w:before="120" w:after="120" w:line="276" w:lineRule="auto"/>
              <w:jc w:val="center"/>
              <w:rPr>
                <w:rFonts w:ascii="Calibri" w:hAnsi="Calibri" w:cs="Calibri"/>
                <w:b/>
                <w:sz w:val="22"/>
                <w:szCs w:val="22"/>
              </w:rPr>
            </w:pPr>
            <w:r w:rsidRPr="00710E12">
              <w:rPr>
                <w:rFonts w:ascii="Calibri" w:hAnsi="Calibri" w:cs="Calibri"/>
                <w:b/>
                <w:sz w:val="22"/>
                <w:szCs w:val="22"/>
              </w:rPr>
              <w:t>SLABOSTI</w:t>
            </w:r>
          </w:p>
        </w:tc>
      </w:tr>
      <w:tr w:rsidR="00710E12" w14:paraId="7CED640D" w14:textId="77777777" w:rsidTr="0080168F">
        <w:trPr>
          <w:trHeight w:val="5746"/>
        </w:trPr>
        <w:tc>
          <w:tcPr>
            <w:tcW w:w="4673" w:type="dxa"/>
          </w:tcPr>
          <w:p w14:paraId="466B7C4A" w14:textId="5129E2BB" w:rsidR="00710E12" w:rsidRPr="00CC3A79" w:rsidRDefault="00F74C7B" w:rsidP="00FD1875">
            <w:pPr>
              <w:pStyle w:val="Odlomakpopisa"/>
              <w:numPr>
                <w:ilvl w:val="0"/>
                <w:numId w:val="7"/>
              </w:numPr>
              <w:spacing w:line="276" w:lineRule="auto"/>
              <w:ind w:left="306"/>
              <w:jc w:val="both"/>
              <w:rPr>
                <w:rFonts w:ascii="Calibri" w:hAnsi="Calibri" w:cs="Calibri"/>
                <w:sz w:val="22"/>
                <w:szCs w:val="22"/>
              </w:rPr>
            </w:pPr>
            <w:r w:rsidRPr="00CC3A79">
              <w:rPr>
                <w:rFonts w:ascii="Calibri" w:hAnsi="Calibri" w:cs="Calibri"/>
                <w:sz w:val="22"/>
                <w:szCs w:val="22"/>
              </w:rPr>
              <w:t>Dobar geostrateški položaj (središnja Europa, Mediteran</w:t>
            </w:r>
            <w:r w:rsidR="005C329E" w:rsidRPr="00CC3A79">
              <w:rPr>
                <w:rFonts w:ascii="Calibri" w:hAnsi="Calibri" w:cs="Calibri"/>
                <w:sz w:val="22"/>
                <w:szCs w:val="22"/>
              </w:rPr>
              <w:t xml:space="preserve"> i Podunavlje</w:t>
            </w:r>
            <w:r w:rsidRPr="00CC3A79">
              <w:rPr>
                <w:rFonts w:ascii="Calibri" w:hAnsi="Calibri" w:cs="Calibri"/>
                <w:sz w:val="22"/>
                <w:szCs w:val="22"/>
              </w:rPr>
              <w:t>)</w:t>
            </w:r>
          </w:p>
          <w:p w14:paraId="1D88CB4B" w14:textId="1DDCC609" w:rsidR="0044058B" w:rsidRPr="00CC3A79" w:rsidRDefault="0044058B" w:rsidP="00FD1875">
            <w:pPr>
              <w:pStyle w:val="Odlomakpopisa"/>
              <w:numPr>
                <w:ilvl w:val="0"/>
                <w:numId w:val="7"/>
              </w:numPr>
              <w:spacing w:line="276" w:lineRule="auto"/>
              <w:ind w:left="306"/>
              <w:jc w:val="both"/>
              <w:rPr>
                <w:rFonts w:ascii="Calibri" w:hAnsi="Calibri" w:cs="Calibri"/>
                <w:sz w:val="22"/>
                <w:szCs w:val="22"/>
              </w:rPr>
            </w:pPr>
            <w:r w:rsidRPr="00CC3A79">
              <w:rPr>
                <w:rFonts w:ascii="Calibri" w:hAnsi="Calibri" w:cs="Calibri"/>
                <w:sz w:val="22"/>
                <w:szCs w:val="22"/>
              </w:rPr>
              <w:t>Ključni dijelovi prometnih koridora Transeuropske prometne mreže koji prolaze kroz zemlju, kako z</w:t>
            </w:r>
            <w:r w:rsidR="00F74C7B" w:rsidRPr="00CC3A79">
              <w:rPr>
                <w:rFonts w:ascii="Calibri" w:hAnsi="Calibri" w:cs="Calibri"/>
                <w:sz w:val="22"/>
                <w:szCs w:val="22"/>
              </w:rPr>
              <w:t>a</w:t>
            </w:r>
            <w:r w:rsidRPr="00CC3A79">
              <w:rPr>
                <w:rFonts w:ascii="Calibri" w:hAnsi="Calibri" w:cs="Calibri"/>
                <w:sz w:val="22"/>
                <w:szCs w:val="22"/>
              </w:rPr>
              <w:t xml:space="preserve"> putnički tako i za teretni promet</w:t>
            </w:r>
          </w:p>
          <w:p w14:paraId="6679D428" w14:textId="77777777" w:rsidR="00F74C7B" w:rsidRPr="00CC3A79" w:rsidRDefault="00F74C7B" w:rsidP="00FD1875">
            <w:pPr>
              <w:pStyle w:val="Odlomakpopisa"/>
              <w:numPr>
                <w:ilvl w:val="0"/>
                <w:numId w:val="7"/>
              </w:numPr>
              <w:spacing w:line="276" w:lineRule="auto"/>
              <w:ind w:left="306"/>
              <w:jc w:val="both"/>
              <w:rPr>
                <w:rFonts w:ascii="Calibri" w:hAnsi="Calibri" w:cs="Calibri"/>
                <w:sz w:val="22"/>
                <w:szCs w:val="22"/>
              </w:rPr>
            </w:pPr>
            <w:r w:rsidRPr="00CC3A79">
              <w:rPr>
                <w:rFonts w:ascii="Calibri" w:hAnsi="Calibri" w:cs="Calibri"/>
                <w:sz w:val="22"/>
                <w:szCs w:val="22"/>
              </w:rPr>
              <w:t>Dostupnost EU fondova</w:t>
            </w:r>
          </w:p>
          <w:p w14:paraId="49077D64" w14:textId="6F109F78" w:rsidR="0044058B" w:rsidRPr="00CC3A79" w:rsidRDefault="0044058B" w:rsidP="00FD1875">
            <w:pPr>
              <w:pStyle w:val="Odlomakpopisa"/>
              <w:numPr>
                <w:ilvl w:val="0"/>
                <w:numId w:val="7"/>
              </w:numPr>
              <w:spacing w:line="276" w:lineRule="auto"/>
              <w:ind w:left="306"/>
              <w:jc w:val="both"/>
              <w:rPr>
                <w:rFonts w:ascii="Calibri" w:hAnsi="Calibri" w:cs="Calibri"/>
                <w:sz w:val="22"/>
                <w:szCs w:val="22"/>
              </w:rPr>
            </w:pPr>
            <w:r w:rsidRPr="00CC3A79">
              <w:rPr>
                <w:rFonts w:ascii="Calibri" w:hAnsi="Calibri" w:cs="Calibri"/>
                <w:sz w:val="22"/>
                <w:szCs w:val="22"/>
              </w:rPr>
              <w:t>Pravni i institucionalni okvir u skladu sa zahtjevima EU-a</w:t>
            </w:r>
          </w:p>
          <w:p w14:paraId="6BC2C131" w14:textId="153CD5E2" w:rsidR="0044058B" w:rsidRPr="00CC3A79" w:rsidRDefault="00F74C7B" w:rsidP="00FD1875">
            <w:pPr>
              <w:pStyle w:val="Odlomakpopisa"/>
              <w:numPr>
                <w:ilvl w:val="0"/>
                <w:numId w:val="7"/>
              </w:numPr>
              <w:spacing w:line="276" w:lineRule="auto"/>
              <w:ind w:left="306"/>
              <w:jc w:val="both"/>
              <w:rPr>
                <w:rFonts w:ascii="Calibri" w:hAnsi="Calibri" w:cs="Calibri"/>
                <w:sz w:val="22"/>
                <w:szCs w:val="22"/>
              </w:rPr>
            </w:pPr>
            <w:r w:rsidRPr="00CC3A79">
              <w:rPr>
                <w:rFonts w:ascii="Calibri" w:hAnsi="Calibri" w:cs="Calibri"/>
                <w:sz w:val="22"/>
                <w:szCs w:val="22"/>
              </w:rPr>
              <w:t>Regije i veći gradovi u Hrvatskoj su dobro povezani autocestama</w:t>
            </w:r>
          </w:p>
          <w:p w14:paraId="3C17CED2" w14:textId="24FB7F0E" w:rsidR="00A41D28" w:rsidRPr="00CC3A79" w:rsidRDefault="00A41D28" w:rsidP="00FD1875">
            <w:pPr>
              <w:pStyle w:val="Odlomakpopisa"/>
              <w:numPr>
                <w:ilvl w:val="0"/>
                <w:numId w:val="7"/>
              </w:numPr>
              <w:spacing w:line="276" w:lineRule="auto"/>
              <w:ind w:left="306"/>
              <w:jc w:val="both"/>
              <w:rPr>
                <w:rFonts w:ascii="Calibri" w:hAnsi="Calibri" w:cs="Calibri"/>
                <w:sz w:val="22"/>
                <w:szCs w:val="22"/>
              </w:rPr>
            </w:pPr>
            <w:r w:rsidRPr="00CC3A79">
              <w:rPr>
                <w:rFonts w:ascii="Calibri" w:hAnsi="Calibri" w:cs="Calibri"/>
                <w:sz w:val="22"/>
                <w:szCs w:val="22"/>
              </w:rPr>
              <w:t>Pomorsko naslijeđe i postojeći pomorski sekto</w:t>
            </w:r>
            <w:r w:rsidR="003124CA" w:rsidRPr="00CC3A79">
              <w:rPr>
                <w:rFonts w:ascii="Calibri" w:hAnsi="Calibri" w:cs="Calibri"/>
                <w:sz w:val="22"/>
                <w:szCs w:val="22"/>
              </w:rPr>
              <w:t>r;</w:t>
            </w:r>
            <w:r w:rsidRPr="00CC3A79">
              <w:rPr>
                <w:rFonts w:ascii="Calibri" w:hAnsi="Calibri" w:cs="Calibri"/>
                <w:sz w:val="22"/>
                <w:szCs w:val="22"/>
              </w:rPr>
              <w:t xml:space="preserve"> </w:t>
            </w:r>
            <w:r w:rsidR="003124CA" w:rsidRPr="00CC3A79">
              <w:rPr>
                <w:rFonts w:ascii="Calibri" w:hAnsi="Calibri" w:cs="Calibri"/>
                <w:sz w:val="22"/>
                <w:szCs w:val="22"/>
              </w:rPr>
              <w:t>u</w:t>
            </w:r>
            <w:r w:rsidRPr="00CC3A79">
              <w:rPr>
                <w:rFonts w:ascii="Calibri" w:hAnsi="Calibri" w:cs="Calibri"/>
                <w:sz w:val="22"/>
                <w:szCs w:val="22"/>
              </w:rPr>
              <w:t>ključenost pomorskih prometnih pravaca u europsku prometnu mrežu</w:t>
            </w:r>
          </w:p>
          <w:p w14:paraId="47604836" w14:textId="5E6F59CA" w:rsidR="00EF79D0" w:rsidRPr="00CC3A79" w:rsidRDefault="00EF79D0" w:rsidP="00FD1875">
            <w:pPr>
              <w:pStyle w:val="Odlomakpopisa"/>
              <w:numPr>
                <w:ilvl w:val="0"/>
                <w:numId w:val="7"/>
              </w:numPr>
              <w:spacing w:line="276" w:lineRule="auto"/>
              <w:ind w:left="306"/>
              <w:jc w:val="both"/>
              <w:rPr>
                <w:rFonts w:ascii="Calibri" w:hAnsi="Calibri" w:cs="Calibri"/>
                <w:sz w:val="22"/>
                <w:szCs w:val="22"/>
              </w:rPr>
            </w:pPr>
            <w:r w:rsidRPr="00CC3A79">
              <w:rPr>
                <w:rFonts w:ascii="Calibri" w:hAnsi="Calibri" w:cs="Calibri"/>
                <w:sz w:val="22"/>
                <w:szCs w:val="22"/>
              </w:rPr>
              <w:t>Turističko odredište s tradicionalnim mediteranskim značajkama</w:t>
            </w:r>
          </w:p>
          <w:p w14:paraId="0AB99B9F" w14:textId="7F800614" w:rsidR="0044058B" w:rsidRPr="00CC3A79" w:rsidRDefault="00582A34" w:rsidP="0044058B">
            <w:pPr>
              <w:pStyle w:val="Odlomakpopisa"/>
              <w:numPr>
                <w:ilvl w:val="0"/>
                <w:numId w:val="7"/>
              </w:numPr>
              <w:spacing w:line="276" w:lineRule="auto"/>
              <w:ind w:left="306"/>
              <w:jc w:val="both"/>
              <w:rPr>
                <w:rFonts w:ascii="Calibri" w:hAnsi="Calibri" w:cs="Calibri"/>
                <w:sz w:val="22"/>
                <w:szCs w:val="22"/>
              </w:rPr>
            </w:pPr>
            <w:r w:rsidRPr="00CC3A79">
              <w:rPr>
                <w:rFonts w:ascii="Calibri" w:hAnsi="Calibri" w:cs="Calibri"/>
                <w:sz w:val="22"/>
                <w:szCs w:val="22"/>
              </w:rPr>
              <w:t>Kontinuirani rast širokopojasnog pristupa (po učestalosti korištenja i prihodima operatora)</w:t>
            </w:r>
          </w:p>
        </w:tc>
        <w:tc>
          <w:tcPr>
            <w:tcW w:w="4344" w:type="dxa"/>
          </w:tcPr>
          <w:p w14:paraId="78D8700C" w14:textId="52F06F60" w:rsidR="00F74C7B" w:rsidRPr="00CC3A79" w:rsidRDefault="00F74C7B" w:rsidP="00B944E6">
            <w:pPr>
              <w:pStyle w:val="Odlomakpopisa"/>
              <w:numPr>
                <w:ilvl w:val="0"/>
                <w:numId w:val="7"/>
              </w:numPr>
              <w:spacing w:before="120" w:after="120" w:line="276" w:lineRule="auto"/>
              <w:ind w:left="313"/>
              <w:jc w:val="both"/>
              <w:rPr>
                <w:rFonts w:ascii="Calibri" w:hAnsi="Calibri" w:cs="Calibri"/>
                <w:sz w:val="22"/>
                <w:szCs w:val="22"/>
              </w:rPr>
            </w:pPr>
            <w:r w:rsidRPr="00CC3A79">
              <w:rPr>
                <w:rFonts w:ascii="Calibri" w:hAnsi="Calibri" w:cs="Calibri"/>
                <w:sz w:val="22"/>
                <w:szCs w:val="22"/>
              </w:rPr>
              <w:t>Nezadovoljavajuće stanje željezničke infrastrukture</w:t>
            </w:r>
            <w:r w:rsidR="00CD5F60" w:rsidRPr="00CC3A79">
              <w:rPr>
                <w:rFonts w:ascii="Calibri" w:hAnsi="Calibri" w:cs="Calibri"/>
                <w:sz w:val="22"/>
                <w:szCs w:val="22"/>
              </w:rPr>
              <w:t>; z</w:t>
            </w:r>
            <w:r w:rsidRPr="00CC3A79">
              <w:rPr>
                <w:rFonts w:ascii="Calibri" w:hAnsi="Calibri" w:cs="Calibri"/>
                <w:sz w:val="22"/>
                <w:szCs w:val="22"/>
              </w:rPr>
              <w:t>astarjeli vozni park za putnike i terete željeznicom</w:t>
            </w:r>
          </w:p>
          <w:p w14:paraId="6B6BD1F0" w14:textId="7333D316" w:rsidR="00CD5F60" w:rsidRPr="00CC3A79" w:rsidRDefault="00CD5F60" w:rsidP="00B944E6">
            <w:pPr>
              <w:pStyle w:val="Odlomakpopisa"/>
              <w:numPr>
                <w:ilvl w:val="0"/>
                <w:numId w:val="7"/>
              </w:numPr>
              <w:spacing w:before="120" w:after="120" w:line="276" w:lineRule="auto"/>
              <w:ind w:left="313"/>
              <w:jc w:val="both"/>
              <w:rPr>
                <w:rFonts w:ascii="Calibri" w:hAnsi="Calibri" w:cs="Calibri"/>
                <w:sz w:val="22"/>
                <w:szCs w:val="22"/>
              </w:rPr>
            </w:pPr>
            <w:r w:rsidRPr="00CC3A79">
              <w:rPr>
                <w:rFonts w:ascii="Calibri" w:hAnsi="Calibri" w:cs="Calibri"/>
                <w:sz w:val="22"/>
                <w:szCs w:val="22"/>
              </w:rPr>
              <w:t>Neadekvatna infrastruktura za javni gradski, prigradski i međugradski promet</w:t>
            </w:r>
          </w:p>
          <w:p w14:paraId="57F1EED4" w14:textId="6523EB29" w:rsidR="00F74C7B" w:rsidRPr="00CC3A79" w:rsidRDefault="00CD5F60" w:rsidP="00B944E6">
            <w:pPr>
              <w:pStyle w:val="Odlomakpopisa"/>
              <w:numPr>
                <w:ilvl w:val="0"/>
                <w:numId w:val="7"/>
              </w:numPr>
              <w:spacing w:before="120" w:after="120" w:line="276" w:lineRule="auto"/>
              <w:ind w:left="313"/>
              <w:jc w:val="both"/>
              <w:rPr>
                <w:rFonts w:ascii="Calibri" w:hAnsi="Calibri" w:cs="Calibri"/>
                <w:sz w:val="22"/>
                <w:szCs w:val="22"/>
              </w:rPr>
            </w:pPr>
            <w:r w:rsidRPr="00CC3A79">
              <w:rPr>
                <w:rFonts w:ascii="Calibri" w:hAnsi="Calibri" w:cs="Calibri"/>
                <w:sz w:val="22"/>
                <w:szCs w:val="22"/>
              </w:rPr>
              <w:t>Nedovoljna povezanost autocesta i cesta nižih kategorija; nedovršena mreža državnih cesta</w:t>
            </w:r>
          </w:p>
          <w:p w14:paraId="2E9F9135" w14:textId="77777777" w:rsidR="00CD5F60" w:rsidRPr="00CC3A79" w:rsidRDefault="00CD5F60" w:rsidP="00B944E6">
            <w:pPr>
              <w:pStyle w:val="Odlomakpopisa"/>
              <w:numPr>
                <w:ilvl w:val="0"/>
                <w:numId w:val="7"/>
              </w:numPr>
              <w:spacing w:before="120" w:after="120" w:line="276" w:lineRule="auto"/>
              <w:ind w:left="313"/>
              <w:jc w:val="both"/>
              <w:rPr>
                <w:rFonts w:ascii="Calibri" w:hAnsi="Calibri" w:cs="Calibri"/>
                <w:sz w:val="22"/>
                <w:szCs w:val="22"/>
              </w:rPr>
            </w:pPr>
            <w:r w:rsidRPr="00CC3A79">
              <w:rPr>
                <w:rFonts w:ascii="Calibri" w:hAnsi="Calibri" w:cs="Calibri"/>
                <w:sz w:val="22"/>
                <w:szCs w:val="22"/>
              </w:rPr>
              <w:t>Nezadovoljavajuća cestovna infrastruktura na otocima te povezanost otoka s kopnom</w:t>
            </w:r>
          </w:p>
          <w:p w14:paraId="466B7F15" w14:textId="77777777" w:rsidR="00A41D28" w:rsidRPr="00CC3A79" w:rsidRDefault="00582A34" w:rsidP="00B944E6">
            <w:pPr>
              <w:pStyle w:val="Odlomakpopisa"/>
              <w:numPr>
                <w:ilvl w:val="0"/>
                <w:numId w:val="7"/>
              </w:numPr>
              <w:spacing w:before="120" w:after="120" w:line="276" w:lineRule="auto"/>
              <w:ind w:left="313"/>
              <w:jc w:val="both"/>
              <w:rPr>
                <w:rFonts w:ascii="Calibri" w:hAnsi="Calibri" w:cs="Calibri"/>
                <w:sz w:val="22"/>
                <w:szCs w:val="22"/>
              </w:rPr>
            </w:pPr>
            <w:r w:rsidRPr="00CC3A79">
              <w:rPr>
                <w:rFonts w:ascii="Calibri" w:hAnsi="Calibri" w:cs="Calibri"/>
                <w:sz w:val="22"/>
                <w:szCs w:val="22"/>
              </w:rPr>
              <w:t xml:space="preserve">Neredovito i neefikasno održavanje plovnih putova, </w:t>
            </w:r>
            <w:r w:rsidR="004F1375" w:rsidRPr="00CC3A79">
              <w:rPr>
                <w:rFonts w:ascii="Calibri" w:hAnsi="Calibri" w:cs="Calibri"/>
                <w:sz w:val="22"/>
                <w:szCs w:val="22"/>
              </w:rPr>
              <w:t>nedovoljno izgrađena ili zastarjela infrastruktura u lukama unutarnjih voda</w:t>
            </w:r>
          </w:p>
          <w:p w14:paraId="0D93DF62" w14:textId="65A00E7E" w:rsidR="00C54F9D" w:rsidRPr="00CC3A79" w:rsidRDefault="00C54F9D" w:rsidP="00B944E6">
            <w:pPr>
              <w:pStyle w:val="Odlomakpopisa"/>
              <w:numPr>
                <w:ilvl w:val="0"/>
                <w:numId w:val="7"/>
              </w:numPr>
              <w:spacing w:before="120" w:after="120" w:line="276" w:lineRule="auto"/>
              <w:ind w:left="313"/>
              <w:jc w:val="both"/>
              <w:rPr>
                <w:rFonts w:ascii="Calibri" w:hAnsi="Calibri" w:cs="Calibri"/>
                <w:sz w:val="22"/>
                <w:szCs w:val="22"/>
              </w:rPr>
            </w:pPr>
            <w:r w:rsidRPr="00CC3A79">
              <w:rPr>
                <w:rFonts w:ascii="Calibri" w:hAnsi="Calibri" w:cs="Calibri"/>
                <w:sz w:val="22"/>
                <w:szCs w:val="22"/>
              </w:rPr>
              <w:t xml:space="preserve">Zastarjela flota i </w:t>
            </w:r>
            <w:proofErr w:type="spellStart"/>
            <w:r w:rsidRPr="00CC3A79">
              <w:rPr>
                <w:rFonts w:ascii="Calibri" w:hAnsi="Calibri" w:cs="Calibri"/>
                <w:sz w:val="22"/>
                <w:szCs w:val="22"/>
              </w:rPr>
              <w:t>skelni</w:t>
            </w:r>
            <w:proofErr w:type="spellEnd"/>
            <w:r w:rsidRPr="00CC3A79">
              <w:rPr>
                <w:rFonts w:ascii="Calibri" w:hAnsi="Calibri" w:cs="Calibri"/>
                <w:sz w:val="22"/>
                <w:szCs w:val="22"/>
              </w:rPr>
              <w:t xml:space="preserve"> prijelazi na unutarnjim vodama</w:t>
            </w:r>
          </w:p>
        </w:tc>
      </w:tr>
    </w:tbl>
    <w:p w14:paraId="76D2C632" w14:textId="252C0445" w:rsidR="00D15917" w:rsidRDefault="00D15917" w:rsidP="003409EF">
      <w:pPr>
        <w:rPr>
          <w:rFonts w:ascii="Calibri" w:hAnsi="Calibri"/>
          <w:sz w:val="22"/>
          <w:szCs w:val="22"/>
        </w:rPr>
      </w:pPr>
    </w:p>
    <w:p w14:paraId="1D7B67A3" w14:textId="1F54ECBA" w:rsidR="00D15917" w:rsidRDefault="00D15917" w:rsidP="00D15917">
      <w:pPr>
        <w:spacing w:after="160" w:line="259" w:lineRule="auto"/>
        <w:rPr>
          <w:rFonts w:ascii="Calibri" w:hAnsi="Calibri"/>
          <w:sz w:val="22"/>
          <w:szCs w:val="22"/>
        </w:rPr>
      </w:pPr>
      <w:r>
        <w:rPr>
          <w:rFonts w:ascii="Calibri" w:hAnsi="Calibri"/>
          <w:sz w:val="22"/>
          <w:szCs w:val="22"/>
        </w:rPr>
        <w:br w:type="page"/>
      </w:r>
    </w:p>
    <w:tbl>
      <w:tblPr>
        <w:tblStyle w:val="Reetkatablice"/>
        <w:tblW w:w="0" w:type="auto"/>
        <w:tblLook w:val="04A0" w:firstRow="1" w:lastRow="0" w:firstColumn="1" w:lastColumn="0" w:noHBand="0" w:noVBand="1"/>
      </w:tblPr>
      <w:tblGrid>
        <w:gridCol w:w="4673"/>
        <w:gridCol w:w="4344"/>
      </w:tblGrid>
      <w:tr w:rsidR="00D15917" w14:paraId="70A6A190" w14:textId="77777777" w:rsidTr="00A920E6">
        <w:trPr>
          <w:trHeight w:val="359"/>
        </w:trPr>
        <w:tc>
          <w:tcPr>
            <w:tcW w:w="4673" w:type="dxa"/>
          </w:tcPr>
          <w:p w14:paraId="47E692F4" w14:textId="77777777" w:rsidR="00D15917" w:rsidRPr="00710E12" w:rsidRDefault="00D15917" w:rsidP="00A920E6">
            <w:pPr>
              <w:spacing w:before="120" w:after="120" w:line="276" w:lineRule="auto"/>
              <w:jc w:val="center"/>
              <w:rPr>
                <w:rFonts w:ascii="Calibri" w:hAnsi="Calibri" w:cs="Calibri"/>
                <w:b/>
                <w:sz w:val="22"/>
                <w:szCs w:val="22"/>
              </w:rPr>
            </w:pPr>
            <w:r w:rsidRPr="00710E12">
              <w:rPr>
                <w:rFonts w:ascii="Calibri" w:hAnsi="Calibri" w:cs="Calibri"/>
                <w:b/>
                <w:sz w:val="22"/>
                <w:szCs w:val="22"/>
              </w:rPr>
              <w:lastRenderedPageBreak/>
              <w:t>PRILIKE</w:t>
            </w:r>
          </w:p>
        </w:tc>
        <w:tc>
          <w:tcPr>
            <w:tcW w:w="4344" w:type="dxa"/>
          </w:tcPr>
          <w:p w14:paraId="73A088A2" w14:textId="77777777" w:rsidR="00D15917" w:rsidRPr="00710E12" w:rsidRDefault="00D15917" w:rsidP="00A920E6">
            <w:pPr>
              <w:spacing w:before="120" w:after="120" w:line="276" w:lineRule="auto"/>
              <w:jc w:val="center"/>
              <w:rPr>
                <w:rFonts w:ascii="Calibri" w:hAnsi="Calibri" w:cs="Calibri"/>
                <w:b/>
                <w:sz w:val="22"/>
                <w:szCs w:val="22"/>
              </w:rPr>
            </w:pPr>
            <w:r w:rsidRPr="00710E12">
              <w:rPr>
                <w:rFonts w:ascii="Calibri" w:hAnsi="Calibri" w:cs="Calibri"/>
                <w:b/>
                <w:sz w:val="22"/>
                <w:szCs w:val="22"/>
              </w:rPr>
              <w:t>PRIJETNJE</w:t>
            </w:r>
          </w:p>
        </w:tc>
      </w:tr>
      <w:tr w:rsidR="00D15917" w14:paraId="7653FA15" w14:textId="77777777" w:rsidTr="00A920E6">
        <w:trPr>
          <w:trHeight w:val="5663"/>
        </w:trPr>
        <w:tc>
          <w:tcPr>
            <w:tcW w:w="4673" w:type="dxa"/>
          </w:tcPr>
          <w:p w14:paraId="4391151D" w14:textId="77777777" w:rsidR="00D15917" w:rsidRPr="00CC3A79" w:rsidRDefault="00D15917" w:rsidP="00A920E6">
            <w:pPr>
              <w:pStyle w:val="Odlomakpopisa"/>
              <w:numPr>
                <w:ilvl w:val="0"/>
                <w:numId w:val="8"/>
              </w:numPr>
              <w:spacing w:before="120" w:after="120" w:line="276" w:lineRule="auto"/>
              <w:ind w:left="306"/>
              <w:jc w:val="both"/>
              <w:rPr>
                <w:rFonts w:ascii="Calibri" w:hAnsi="Calibri" w:cs="Calibri"/>
                <w:sz w:val="22"/>
                <w:szCs w:val="22"/>
              </w:rPr>
            </w:pPr>
            <w:r w:rsidRPr="00CC3A79">
              <w:rPr>
                <w:rFonts w:ascii="Calibri" w:hAnsi="Calibri" w:cs="Calibri"/>
                <w:sz w:val="22"/>
                <w:szCs w:val="22"/>
              </w:rPr>
              <w:t>Izgradnja svih planiranih cestovnih projekata i kvalitetno povezivanje s međunarodnim prometnim koridorima (TEN-T mreža i Paneuropski)</w:t>
            </w:r>
          </w:p>
          <w:p w14:paraId="2FE3C07E" w14:textId="77777777" w:rsidR="00D15917" w:rsidRPr="00CC3A79" w:rsidRDefault="00D15917" w:rsidP="00A920E6">
            <w:pPr>
              <w:pStyle w:val="Odlomakpopisa"/>
              <w:numPr>
                <w:ilvl w:val="0"/>
                <w:numId w:val="8"/>
              </w:numPr>
              <w:spacing w:before="120" w:after="120" w:line="276" w:lineRule="auto"/>
              <w:ind w:left="306"/>
              <w:jc w:val="both"/>
              <w:rPr>
                <w:rFonts w:ascii="Calibri" w:hAnsi="Calibri" w:cs="Calibri"/>
                <w:sz w:val="22"/>
                <w:szCs w:val="22"/>
              </w:rPr>
            </w:pPr>
            <w:r w:rsidRPr="00CC3A79">
              <w:rPr>
                <w:rFonts w:ascii="Calibri" w:hAnsi="Calibri" w:cs="Calibri"/>
                <w:sz w:val="22"/>
                <w:szCs w:val="22"/>
              </w:rPr>
              <w:t xml:space="preserve">Jačanje </w:t>
            </w:r>
            <w:proofErr w:type="spellStart"/>
            <w:r w:rsidRPr="00CC3A79">
              <w:rPr>
                <w:rFonts w:ascii="Calibri" w:hAnsi="Calibri" w:cs="Calibri"/>
                <w:sz w:val="22"/>
                <w:szCs w:val="22"/>
              </w:rPr>
              <w:t>multimodalnih</w:t>
            </w:r>
            <w:proofErr w:type="spellEnd"/>
            <w:r w:rsidRPr="00CC3A79">
              <w:rPr>
                <w:rFonts w:ascii="Calibri" w:hAnsi="Calibri" w:cs="Calibri"/>
                <w:sz w:val="22"/>
                <w:szCs w:val="22"/>
              </w:rPr>
              <w:t xml:space="preserve"> rješenja koja povezuju cestovni, željeznički, zračni i pomorski promet</w:t>
            </w:r>
          </w:p>
          <w:p w14:paraId="4F5C7C23" w14:textId="77777777" w:rsidR="00D15917" w:rsidRPr="00CC3A79" w:rsidRDefault="00D15917" w:rsidP="00A920E6">
            <w:pPr>
              <w:pStyle w:val="Odlomakpopisa"/>
              <w:numPr>
                <w:ilvl w:val="0"/>
                <w:numId w:val="8"/>
              </w:numPr>
              <w:spacing w:before="120" w:after="120" w:line="276" w:lineRule="auto"/>
              <w:ind w:left="306"/>
              <w:jc w:val="both"/>
              <w:rPr>
                <w:rFonts w:ascii="Calibri" w:hAnsi="Calibri" w:cs="Calibri"/>
                <w:sz w:val="22"/>
                <w:szCs w:val="22"/>
              </w:rPr>
            </w:pPr>
            <w:r w:rsidRPr="00CC3A79">
              <w:rPr>
                <w:rFonts w:ascii="Calibri" w:hAnsi="Calibri" w:cs="Calibri"/>
                <w:sz w:val="22"/>
                <w:szCs w:val="22"/>
              </w:rPr>
              <w:t>Modernizacija i razvoj morskih luka usmjereni na daljnji razvoj nacionalnog gospodarstva u cjelini</w:t>
            </w:r>
          </w:p>
          <w:p w14:paraId="2A1326CE" w14:textId="77777777" w:rsidR="00D15917" w:rsidRPr="00CC3A79" w:rsidRDefault="00D15917" w:rsidP="00A920E6">
            <w:pPr>
              <w:pStyle w:val="Odlomakpopisa"/>
              <w:numPr>
                <w:ilvl w:val="0"/>
                <w:numId w:val="8"/>
              </w:numPr>
              <w:spacing w:before="120" w:after="120" w:line="276" w:lineRule="auto"/>
              <w:ind w:left="306"/>
              <w:jc w:val="both"/>
              <w:rPr>
                <w:rFonts w:ascii="Calibri" w:hAnsi="Calibri" w:cs="Calibri"/>
                <w:sz w:val="22"/>
                <w:szCs w:val="22"/>
              </w:rPr>
            </w:pPr>
            <w:r w:rsidRPr="00CC3A79">
              <w:rPr>
                <w:rFonts w:ascii="Calibri" w:hAnsi="Calibri" w:cs="Calibri"/>
                <w:sz w:val="22"/>
                <w:szCs w:val="22"/>
              </w:rPr>
              <w:t>Snažna potražnja za nautičkim turizmom i povezane djelatnosti</w:t>
            </w:r>
          </w:p>
          <w:p w14:paraId="3BC46961" w14:textId="77777777" w:rsidR="00D15917" w:rsidRPr="00CC3A79" w:rsidRDefault="00D15917" w:rsidP="00A920E6">
            <w:pPr>
              <w:pStyle w:val="Odlomakpopisa"/>
              <w:numPr>
                <w:ilvl w:val="0"/>
                <w:numId w:val="8"/>
              </w:numPr>
              <w:spacing w:before="120" w:after="120" w:line="276" w:lineRule="auto"/>
              <w:ind w:left="306"/>
              <w:jc w:val="both"/>
              <w:rPr>
                <w:rFonts w:ascii="Calibri" w:hAnsi="Calibri" w:cs="Calibri"/>
                <w:sz w:val="22"/>
                <w:szCs w:val="22"/>
              </w:rPr>
            </w:pPr>
            <w:r w:rsidRPr="00CC3A79">
              <w:rPr>
                <w:rFonts w:ascii="Calibri" w:hAnsi="Calibri" w:cs="Calibri"/>
                <w:sz w:val="22"/>
                <w:szCs w:val="22"/>
              </w:rPr>
              <w:t>Razvoj riječnog turizma (</w:t>
            </w:r>
            <w:proofErr w:type="spellStart"/>
            <w:r w:rsidRPr="00CC3A79">
              <w:rPr>
                <w:rFonts w:ascii="Calibri" w:hAnsi="Calibri" w:cs="Calibri"/>
                <w:sz w:val="22"/>
                <w:szCs w:val="22"/>
              </w:rPr>
              <w:t>kruzinga</w:t>
            </w:r>
            <w:proofErr w:type="spellEnd"/>
            <w:r w:rsidRPr="00CC3A79">
              <w:rPr>
                <w:rFonts w:ascii="Calibri" w:hAnsi="Calibri" w:cs="Calibri"/>
                <w:sz w:val="22"/>
                <w:szCs w:val="22"/>
              </w:rPr>
              <w:t xml:space="preserve">) i destinacija na unutarnjim vodama </w:t>
            </w:r>
          </w:p>
          <w:p w14:paraId="790B7F15" w14:textId="77777777" w:rsidR="00D15917" w:rsidRPr="00CC3A79" w:rsidRDefault="00D15917" w:rsidP="00A920E6">
            <w:pPr>
              <w:pStyle w:val="Odlomakpopisa"/>
              <w:numPr>
                <w:ilvl w:val="0"/>
                <w:numId w:val="8"/>
              </w:numPr>
              <w:spacing w:before="120" w:after="120" w:line="276" w:lineRule="auto"/>
              <w:ind w:left="306"/>
              <w:jc w:val="both"/>
              <w:rPr>
                <w:rFonts w:ascii="Calibri" w:hAnsi="Calibri" w:cs="Calibri"/>
                <w:sz w:val="22"/>
                <w:szCs w:val="22"/>
              </w:rPr>
            </w:pPr>
            <w:r w:rsidRPr="00CC3A79">
              <w:rPr>
                <w:rFonts w:ascii="Calibri" w:hAnsi="Calibri" w:cs="Calibri"/>
                <w:sz w:val="22"/>
                <w:szCs w:val="22"/>
              </w:rPr>
              <w:t>Modernizacija plovnih putova i osiguranje plovnosti rijeka u skladu s propisanim minimalnim klasama plovnosti za međunarodne plovne putove</w:t>
            </w:r>
          </w:p>
          <w:p w14:paraId="49174875" w14:textId="77777777" w:rsidR="00D15917" w:rsidRPr="00CC3A79" w:rsidRDefault="00D15917" w:rsidP="00A920E6">
            <w:pPr>
              <w:pStyle w:val="Odlomakpopisa"/>
              <w:numPr>
                <w:ilvl w:val="0"/>
                <w:numId w:val="8"/>
              </w:numPr>
              <w:spacing w:before="120" w:after="120" w:line="276" w:lineRule="auto"/>
              <w:ind w:left="306"/>
              <w:jc w:val="both"/>
              <w:rPr>
                <w:rFonts w:ascii="Calibri" w:hAnsi="Calibri" w:cs="Calibri"/>
                <w:sz w:val="22"/>
                <w:szCs w:val="22"/>
              </w:rPr>
            </w:pPr>
            <w:r w:rsidRPr="00CC3A79">
              <w:rPr>
                <w:rFonts w:ascii="Calibri" w:hAnsi="Calibri" w:cs="Calibri"/>
                <w:sz w:val="22"/>
                <w:szCs w:val="22"/>
              </w:rPr>
              <w:t>Porast potražnje za uslugama širokopojasnog pristupa velikih brzina, kao posljedica elektroničkog poslovanja, tranzicije prema digitalnom gospodarstvu i razvoju novih elektroničkih javnih usluga</w:t>
            </w:r>
          </w:p>
        </w:tc>
        <w:tc>
          <w:tcPr>
            <w:tcW w:w="4344" w:type="dxa"/>
          </w:tcPr>
          <w:p w14:paraId="1D4385DA" w14:textId="77777777" w:rsidR="00D15917" w:rsidRPr="00CC3A79" w:rsidRDefault="00D15917" w:rsidP="00A920E6">
            <w:pPr>
              <w:pStyle w:val="Odlomakpopisa"/>
              <w:numPr>
                <w:ilvl w:val="0"/>
                <w:numId w:val="8"/>
              </w:numPr>
              <w:spacing w:before="120" w:after="120" w:line="276" w:lineRule="auto"/>
              <w:ind w:left="313"/>
              <w:jc w:val="both"/>
              <w:rPr>
                <w:rFonts w:ascii="Calibri" w:hAnsi="Calibri" w:cs="Calibri"/>
                <w:sz w:val="22"/>
                <w:szCs w:val="22"/>
              </w:rPr>
            </w:pPr>
            <w:r w:rsidRPr="00CC3A79">
              <w:rPr>
                <w:rFonts w:ascii="Calibri" w:hAnsi="Calibri" w:cs="Calibri"/>
                <w:sz w:val="22"/>
                <w:szCs w:val="22"/>
              </w:rPr>
              <w:t xml:space="preserve">Usporen gospodarski rast u području </w:t>
            </w:r>
            <w:proofErr w:type="spellStart"/>
            <w:r w:rsidRPr="00CC3A79">
              <w:rPr>
                <w:rFonts w:ascii="Calibri" w:hAnsi="Calibri" w:cs="Calibri"/>
                <w:sz w:val="22"/>
                <w:szCs w:val="22"/>
              </w:rPr>
              <w:t>Eurozone</w:t>
            </w:r>
            <w:proofErr w:type="spellEnd"/>
          </w:p>
          <w:p w14:paraId="4272AB66" w14:textId="77777777" w:rsidR="00D15917" w:rsidRPr="00CC3A79" w:rsidRDefault="00D15917" w:rsidP="00A920E6">
            <w:pPr>
              <w:pStyle w:val="Odlomakpopisa"/>
              <w:numPr>
                <w:ilvl w:val="0"/>
                <w:numId w:val="8"/>
              </w:numPr>
              <w:spacing w:before="120" w:after="120" w:line="276" w:lineRule="auto"/>
              <w:ind w:left="313"/>
              <w:jc w:val="both"/>
              <w:rPr>
                <w:rFonts w:ascii="Calibri" w:hAnsi="Calibri" w:cs="Calibri"/>
                <w:sz w:val="22"/>
                <w:szCs w:val="22"/>
              </w:rPr>
            </w:pPr>
            <w:r w:rsidRPr="00CC3A79">
              <w:rPr>
                <w:rFonts w:ascii="Calibri" w:hAnsi="Calibri" w:cs="Calibri"/>
                <w:sz w:val="22"/>
                <w:szCs w:val="22"/>
              </w:rPr>
              <w:t>Nedovoljna ulaganja u postojeću infrastrukturu zbog nedostatka sredstava</w:t>
            </w:r>
          </w:p>
          <w:p w14:paraId="44265287" w14:textId="77777777" w:rsidR="00D15917" w:rsidRPr="00CC3A79" w:rsidRDefault="00D15917" w:rsidP="00A920E6">
            <w:pPr>
              <w:pStyle w:val="Odlomakpopisa"/>
              <w:numPr>
                <w:ilvl w:val="0"/>
                <w:numId w:val="8"/>
              </w:numPr>
              <w:spacing w:before="120" w:after="120" w:line="276" w:lineRule="auto"/>
              <w:ind w:left="313"/>
              <w:jc w:val="both"/>
              <w:rPr>
                <w:rFonts w:ascii="Calibri" w:hAnsi="Calibri" w:cs="Calibri"/>
                <w:sz w:val="22"/>
                <w:szCs w:val="22"/>
              </w:rPr>
            </w:pPr>
            <w:r w:rsidRPr="00CC3A79">
              <w:rPr>
                <w:rFonts w:ascii="Calibri" w:hAnsi="Calibri" w:cs="Calibri"/>
                <w:sz w:val="22"/>
                <w:szCs w:val="22"/>
              </w:rPr>
              <w:t>Snažan utjecaj mogućih onečišćenja mora i unutarnjih voda na ekonomski razvoj i održivost</w:t>
            </w:r>
          </w:p>
          <w:p w14:paraId="0D38E328" w14:textId="77777777" w:rsidR="00D15917" w:rsidRPr="00CC3A79" w:rsidRDefault="00D15917" w:rsidP="00A920E6">
            <w:pPr>
              <w:pStyle w:val="Odlomakpopisa"/>
              <w:numPr>
                <w:ilvl w:val="0"/>
                <w:numId w:val="8"/>
              </w:numPr>
              <w:spacing w:before="120" w:after="120" w:line="276" w:lineRule="auto"/>
              <w:ind w:left="313"/>
              <w:jc w:val="both"/>
              <w:rPr>
                <w:rFonts w:ascii="Calibri" w:hAnsi="Calibri" w:cs="Calibri"/>
                <w:sz w:val="22"/>
                <w:szCs w:val="22"/>
              </w:rPr>
            </w:pPr>
            <w:r w:rsidRPr="00CC3A79">
              <w:rPr>
                <w:rFonts w:ascii="Calibri" w:hAnsi="Calibri" w:cs="Calibri"/>
                <w:sz w:val="22"/>
                <w:szCs w:val="22"/>
              </w:rPr>
              <w:t xml:space="preserve">Ovisnost o turističkom prometu i njegovoj </w:t>
            </w:r>
            <w:proofErr w:type="spellStart"/>
            <w:r w:rsidRPr="00CC3A79">
              <w:rPr>
                <w:rFonts w:ascii="Calibri" w:hAnsi="Calibri" w:cs="Calibri"/>
                <w:sz w:val="22"/>
                <w:szCs w:val="22"/>
              </w:rPr>
              <w:t>sezonalnosti</w:t>
            </w:r>
            <w:proofErr w:type="spellEnd"/>
          </w:p>
          <w:p w14:paraId="5A6F2E67" w14:textId="77777777" w:rsidR="00D15917" w:rsidRPr="00CC3A79" w:rsidRDefault="00D15917" w:rsidP="00A920E6">
            <w:pPr>
              <w:pStyle w:val="Odlomakpopisa"/>
              <w:numPr>
                <w:ilvl w:val="0"/>
                <w:numId w:val="8"/>
              </w:numPr>
              <w:spacing w:before="120" w:after="120" w:line="276" w:lineRule="auto"/>
              <w:ind w:left="313"/>
              <w:jc w:val="both"/>
              <w:rPr>
                <w:rFonts w:ascii="Calibri" w:hAnsi="Calibri" w:cs="Calibri"/>
                <w:sz w:val="22"/>
                <w:szCs w:val="22"/>
              </w:rPr>
            </w:pPr>
            <w:r w:rsidRPr="00CC3A79">
              <w:rPr>
                <w:rFonts w:ascii="Calibri" w:hAnsi="Calibri" w:cs="Calibri"/>
                <w:sz w:val="22"/>
                <w:szCs w:val="22"/>
              </w:rPr>
              <w:t>Nedovoljna sigurnost plovidbe i razvoj održavanja unutarnjih voda; nedovoljna ulaganja u razvoj lučke i pristanišne infrastrukture na unutarnjim vodama</w:t>
            </w:r>
          </w:p>
        </w:tc>
      </w:tr>
    </w:tbl>
    <w:p w14:paraId="431FD0F7" w14:textId="77777777" w:rsidR="00D15917" w:rsidRDefault="00D15917">
      <w:pPr>
        <w:spacing w:after="160" w:line="259" w:lineRule="auto"/>
        <w:rPr>
          <w:rFonts w:ascii="Calibri" w:hAnsi="Calibri"/>
          <w:sz w:val="22"/>
          <w:szCs w:val="22"/>
        </w:rPr>
      </w:pPr>
      <w:r>
        <w:rPr>
          <w:rFonts w:ascii="Calibri" w:hAnsi="Calibri"/>
          <w:sz w:val="22"/>
          <w:szCs w:val="22"/>
        </w:rPr>
        <w:br w:type="page"/>
      </w:r>
    </w:p>
    <w:p w14:paraId="3D75CFEA" w14:textId="77777777" w:rsidR="00F953BD" w:rsidRDefault="00F953BD" w:rsidP="003409EF">
      <w:pPr>
        <w:rPr>
          <w:rFonts w:ascii="Calibri" w:hAnsi="Calibri"/>
          <w:sz w:val="22"/>
          <w:szCs w:val="22"/>
        </w:rPr>
        <w:sectPr w:rsidR="00F953BD" w:rsidSect="00012B7C">
          <w:footerReference w:type="default" r:id="rId9"/>
          <w:pgSz w:w="11907" w:h="16840" w:code="9"/>
          <w:pgMar w:top="993" w:right="1134" w:bottom="1418" w:left="1440" w:header="709" w:footer="699" w:gutter="0"/>
          <w:cols w:space="708"/>
          <w:titlePg/>
          <w:docGrid w:linePitch="360"/>
        </w:sectPr>
      </w:pPr>
    </w:p>
    <w:p w14:paraId="0435211A" w14:textId="7BDD61C5" w:rsidR="00BB5F58" w:rsidRPr="00822B94" w:rsidRDefault="00BB5F58" w:rsidP="00822B94">
      <w:pPr>
        <w:keepNext/>
        <w:keepLines/>
        <w:numPr>
          <w:ilvl w:val="0"/>
          <w:numId w:val="1"/>
        </w:numPr>
        <w:spacing w:before="360" w:after="120"/>
        <w:ind w:left="284"/>
        <w:outlineLvl w:val="0"/>
        <w:rPr>
          <w:rFonts w:ascii="Calibri" w:eastAsia="SimSun" w:hAnsi="Calibri"/>
          <w:b/>
          <w:bCs/>
          <w:color w:val="365F91"/>
          <w:sz w:val="28"/>
          <w:szCs w:val="28"/>
          <w:lang w:eastAsia="zh-CN"/>
        </w:rPr>
      </w:pPr>
      <w:bookmarkStart w:id="11" w:name="_Toc221536525"/>
      <w:r w:rsidRPr="00722003">
        <w:rPr>
          <w:rFonts w:ascii="Calibri" w:eastAsia="SimSun" w:hAnsi="Calibri"/>
          <w:b/>
          <w:bCs/>
          <w:color w:val="365F91"/>
          <w:sz w:val="28"/>
          <w:szCs w:val="28"/>
          <w:lang w:eastAsia="zh-CN"/>
        </w:rPr>
        <w:lastRenderedPageBreak/>
        <w:t>Organizacijska struktura</w:t>
      </w:r>
      <w:r>
        <w:rPr>
          <w:rFonts w:ascii="Calibri" w:eastAsia="SimSun" w:hAnsi="Calibri"/>
          <w:b/>
          <w:bCs/>
          <w:color w:val="365F91"/>
          <w:sz w:val="28"/>
          <w:szCs w:val="28"/>
          <w:lang w:eastAsia="zh-CN"/>
        </w:rPr>
        <w:t xml:space="preserve"> i ljudski resursi po ustrojstvenim jedinicama</w:t>
      </w:r>
      <w:bookmarkEnd w:id="11"/>
    </w:p>
    <w:p w14:paraId="05439540" w14:textId="3C7B16C7" w:rsidR="00BB5F58" w:rsidRPr="00141DEA" w:rsidRDefault="00BB5F58" w:rsidP="00BB5F58">
      <w:pPr>
        <w:pStyle w:val="Stil1"/>
      </w:pPr>
      <w:bookmarkStart w:id="12" w:name="_Toc221536526"/>
      <w:r w:rsidRPr="00141DEA">
        <w:t>Organizacijska shema Ministarstva</w:t>
      </w:r>
      <w:bookmarkEnd w:id="12"/>
      <w:r w:rsidRPr="00141DEA">
        <w:t xml:space="preserve"> </w:t>
      </w:r>
    </w:p>
    <w:p w14:paraId="5925A70F" w14:textId="77777777" w:rsidR="00FA6386" w:rsidRPr="006B1028" w:rsidRDefault="00FA6386" w:rsidP="00FA6386">
      <w:pPr>
        <w:pStyle w:val="Stil1"/>
        <w:numPr>
          <w:ilvl w:val="0"/>
          <w:numId w:val="0"/>
        </w:numPr>
        <w:ind w:left="720"/>
        <w:rPr>
          <w:highlight w:val="green"/>
        </w:rPr>
      </w:pPr>
    </w:p>
    <w:p w14:paraId="345A8169" w14:textId="443C4BE1" w:rsidR="000E1812" w:rsidRDefault="00FA6386" w:rsidP="003409EF">
      <w:pPr>
        <w:rPr>
          <w:rFonts w:ascii="Calibri" w:hAnsi="Calibri"/>
          <w:sz w:val="22"/>
          <w:szCs w:val="22"/>
        </w:rPr>
      </w:pPr>
      <w:r w:rsidRPr="00FA6386">
        <w:rPr>
          <w:rFonts w:ascii="Calibri" w:hAnsi="Calibri"/>
          <w:noProof/>
          <w:sz w:val="22"/>
          <w:szCs w:val="22"/>
        </w:rPr>
        <w:drawing>
          <wp:inline distT="0" distB="0" distL="0" distR="0" wp14:anchorId="3CDB6DE4" wp14:editId="3F4CF296">
            <wp:extent cx="9324975" cy="4467225"/>
            <wp:effectExtent l="0" t="0" r="9525" b="9525"/>
            <wp:docPr id="9" name="Slika 9" descr="C:\Users\skrasic\Desktop\she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krasic\Desktop\shema.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24975" cy="4467225"/>
                    </a:xfrm>
                    <a:prstGeom prst="rect">
                      <a:avLst/>
                    </a:prstGeom>
                    <a:noFill/>
                    <a:ln>
                      <a:noFill/>
                    </a:ln>
                  </pic:spPr>
                </pic:pic>
              </a:graphicData>
            </a:graphic>
          </wp:inline>
        </w:drawing>
      </w:r>
    </w:p>
    <w:p w14:paraId="54644022" w14:textId="456D68CA" w:rsidR="00BB5F58" w:rsidRDefault="00BB5F58" w:rsidP="003409EF">
      <w:pPr>
        <w:rPr>
          <w:rFonts w:ascii="Calibri" w:hAnsi="Calibri"/>
          <w:sz w:val="22"/>
          <w:szCs w:val="22"/>
        </w:rPr>
      </w:pPr>
    </w:p>
    <w:p w14:paraId="1159DCE3" w14:textId="77777777" w:rsidR="00012B7C" w:rsidRDefault="00012B7C" w:rsidP="003409EF">
      <w:pPr>
        <w:rPr>
          <w:rFonts w:ascii="Calibri" w:hAnsi="Calibri"/>
          <w:sz w:val="22"/>
          <w:szCs w:val="22"/>
        </w:rPr>
      </w:pPr>
    </w:p>
    <w:p w14:paraId="39109107" w14:textId="77777777" w:rsidR="00012B7C" w:rsidRDefault="00012B7C">
      <w:pPr>
        <w:spacing w:after="160" w:line="259" w:lineRule="auto"/>
        <w:rPr>
          <w:rFonts w:ascii="Calibri" w:hAnsi="Calibri"/>
          <w:sz w:val="22"/>
          <w:szCs w:val="22"/>
        </w:rPr>
        <w:sectPr w:rsidR="00012B7C" w:rsidSect="00460E1C">
          <w:footerReference w:type="first" r:id="rId11"/>
          <w:pgSz w:w="16840" w:h="11907" w:orient="landscape" w:code="9"/>
          <w:pgMar w:top="851" w:right="851" w:bottom="1134" w:left="1276" w:header="709" w:footer="699" w:gutter="0"/>
          <w:cols w:space="708"/>
          <w:titlePg/>
          <w:docGrid w:linePitch="360"/>
        </w:sectPr>
      </w:pPr>
    </w:p>
    <w:p w14:paraId="0E664C5A" w14:textId="47412860" w:rsidR="000E1812" w:rsidRPr="00141DEA" w:rsidRDefault="00AA5690" w:rsidP="003409EF">
      <w:pPr>
        <w:pStyle w:val="Stil1"/>
      </w:pPr>
      <w:bookmarkStart w:id="13" w:name="_Toc221536527"/>
      <w:r w:rsidRPr="00141DEA">
        <w:lastRenderedPageBreak/>
        <w:t xml:space="preserve">Prikaz ljudskih resursa </w:t>
      </w:r>
      <w:r w:rsidR="000D7D23" w:rsidRPr="00141DEA">
        <w:t>Ministarstva</w:t>
      </w:r>
      <w:r w:rsidRPr="00141DEA">
        <w:t xml:space="preserve"> na kraju </w:t>
      </w:r>
      <w:r w:rsidR="00297B65" w:rsidRPr="00141DEA">
        <w:t xml:space="preserve">2025. </w:t>
      </w:r>
      <w:r w:rsidRPr="00141DEA">
        <w:t>godine</w:t>
      </w:r>
      <w:bookmarkEnd w:id="13"/>
      <w:r w:rsidR="000D7D23" w:rsidRPr="00141DEA">
        <w:t xml:space="preserve"> </w:t>
      </w:r>
    </w:p>
    <w:p w14:paraId="4C22B98B" w14:textId="1FC2F932" w:rsidR="0067129B" w:rsidRDefault="0067129B" w:rsidP="003409EF">
      <w:pPr>
        <w:rPr>
          <w:rFonts w:ascii="Calibri" w:hAnsi="Calibri"/>
          <w:sz w:val="22"/>
          <w:szCs w:val="22"/>
        </w:rPr>
      </w:pPr>
    </w:p>
    <w:p w14:paraId="16F94038" w14:textId="6535FA89" w:rsidR="000E1812" w:rsidRDefault="000E1812" w:rsidP="003409EF">
      <w:pPr>
        <w:rPr>
          <w:rFonts w:ascii="Calibri" w:hAnsi="Calibri"/>
          <w:sz w:val="22"/>
          <w:szCs w:val="22"/>
        </w:rPr>
      </w:pPr>
    </w:p>
    <w:p w14:paraId="5841747B" w14:textId="7CC4FE39" w:rsidR="00F953BD" w:rsidRDefault="00D11920" w:rsidP="003409EF">
      <w:pPr>
        <w:rPr>
          <w:rFonts w:ascii="Calibri" w:hAnsi="Calibri"/>
          <w:sz w:val="22"/>
          <w:szCs w:val="22"/>
        </w:rPr>
        <w:sectPr w:rsidR="00F953BD" w:rsidSect="00460E1C">
          <w:pgSz w:w="16840" w:h="11907" w:orient="landscape" w:code="9"/>
          <w:pgMar w:top="851" w:right="851" w:bottom="1134" w:left="1276" w:header="709" w:footer="699" w:gutter="0"/>
          <w:cols w:space="708"/>
          <w:titlePg/>
          <w:docGrid w:linePitch="360"/>
        </w:sectPr>
      </w:pPr>
      <w:r w:rsidRPr="00D11920">
        <w:rPr>
          <w:noProof/>
        </w:rPr>
        <w:drawing>
          <wp:inline distT="0" distB="0" distL="0" distR="0" wp14:anchorId="02E4F831" wp14:editId="7486661D">
            <wp:extent cx="9342755" cy="5050453"/>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42755" cy="5050453"/>
                    </a:xfrm>
                    <a:prstGeom prst="rect">
                      <a:avLst/>
                    </a:prstGeom>
                    <a:noFill/>
                    <a:ln>
                      <a:noFill/>
                    </a:ln>
                  </pic:spPr>
                </pic:pic>
              </a:graphicData>
            </a:graphic>
          </wp:inline>
        </w:drawing>
      </w:r>
    </w:p>
    <w:p w14:paraId="0DBCA44D" w14:textId="6C01038B" w:rsidR="000E1812" w:rsidRPr="004611AF" w:rsidRDefault="000E1812" w:rsidP="00F8125E">
      <w:pPr>
        <w:pStyle w:val="Naslov1"/>
        <w:numPr>
          <w:ilvl w:val="0"/>
          <w:numId w:val="11"/>
        </w:numPr>
        <w:spacing w:before="360" w:after="120" w:line="240" w:lineRule="auto"/>
        <w:ind w:left="426" w:hanging="284"/>
        <w:rPr>
          <w:rFonts w:ascii="Calibri" w:hAnsi="Calibri"/>
        </w:rPr>
      </w:pPr>
      <w:bookmarkStart w:id="14" w:name="_Toc221536528"/>
      <w:r w:rsidRPr="004611AF">
        <w:rPr>
          <w:rFonts w:ascii="Calibri" w:hAnsi="Calibri"/>
        </w:rPr>
        <w:lastRenderedPageBreak/>
        <w:t>Provedba mjera iz Provedbenog programa i ciljeva iz djelokruga rada te  operativnih ciljeva po ustrojstvenim jedinicama</w:t>
      </w:r>
      <w:bookmarkEnd w:id="14"/>
    </w:p>
    <w:p w14:paraId="7DF1EF97" w14:textId="77777777" w:rsidR="00B643D2" w:rsidRPr="00B643D2" w:rsidRDefault="00B643D2" w:rsidP="00B643D2">
      <w:pPr>
        <w:rPr>
          <w:rFonts w:eastAsia="SimSun"/>
          <w:highlight w:val="green"/>
          <w:lang w:eastAsia="zh-CN"/>
        </w:rPr>
      </w:pPr>
    </w:p>
    <w:p w14:paraId="251277C4" w14:textId="77777777" w:rsidR="000E1812" w:rsidRPr="00D277CC" w:rsidRDefault="000E1812" w:rsidP="000E1812">
      <w:pPr>
        <w:spacing w:after="160" w:line="259" w:lineRule="auto"/>
        <w:ind w:left="-142"/>
        <w:jc w:val="both"/>
        <w:rPr>
          <w:rFonts w:ascii="Calibri" w:eastAsia="SimSun" w:hAnsi="Calibri"/>
          <w:b/>
          <w:bCs/>
          <w:color w:val="365F91"/>
          <w:sz w:val="22"/>
          <w:szCs w:val="22"/>
          <w:lang w:eastAsia="zh-CN"/>
        </w:rPr>
      </w:pPr>
      <w:r>
        <w:rPr>
          <w:rFonts w:ascii="Calibri" w:hAnsi="Calibri"/>
          <w:sz w:val="22"/>
          <w:szCs w:val="22"/>
        </w:rPr>
        <w:t>U skladu s odredbama</w:t>
      </w:r>
      <w:r w:rsidRPr="00D277CC">
        <w:rPr>
          <w:rFonts w:ascii="Calibri" w:hAnsi="Calibri"/>
          <w:sz w:val="22"/>
          <w:szCs w:val="22"/>
        </w:rPr>
        <w:t xml:space="preserve"> Zakona o sustavu strateškog planiranja i upravljanja razvojem Republike Hrvatske (NN 123/17, 151/22</w:t>
      </w:r>
      <w:r>
        <w:rPr>
          <w:rFonts w:ascii="Calibri" w:hAnsi="Calibri"/>
          <w:sz w:val="22"/>
          <w:szCs w:val="22"/>
        </w:rPr>
        <w:t xml:space="preserve">) i Uredbe o smjernicama za </w:t>
      </w:r>
      <w:r w:rsidRPr="00D277CC">
        <w:rPr>
          <w:rFonts w:ascii="Calibri" w:hAnsi="Calibri"/>
          <w:sz w:val="22"/>
          <w:szCs w:val="22"/>
        </w:rPr>
        <w:t xml:space="preserve">izradu akata strateškog planiranja od nacionalnog značaja i od značaja za jedinice lokalne i područne (regionalne) samouprave (NN 37/23), Ministarstvo mora, prometa i infrastrukture izradilo je Provedbeni program za razdoblje </w:t>
      </w:r>
      <w:r>
        <w:rPr>
          <w:rFonts w:ascii="Calibri" w:hAnsi="Calibri"/>
          <w:sz w:val="22"/>
          <w:szCs w:val="22"/>
        </w:rPr>
        <w:t>do 2028</w:t>
      </w:r>
      <w:r w:rsidRPr="00D277CC">
        <w:rPr>
          <w:rFonts w:ascii="Calibri" w:hAnsi="Calibri"/>
          <w:sz w:val="22"/>
          <w:szCs w:val="22"/>
        </w:rPr>
        <w:t>. godine. U Provedbenom programu su, kao glavni elementi, definirane mjere za provedbu ciljeva koji su utvrđeni</w:t>
      </w:r>
      <w:r>
        <w:rPr>
          <w:rFonts w:ascii="Calibri" w:hAnsi="Calibri"/>
          <w:sz w:val="22"/>
          <w:szCs w:val="22"/>
        </w:rPr>
        <w:t xml:space="preserve"> u nadređenim</w:t>
      </w:r>
      <w:r w:rsidRPr="00FC221D">
        <w:rPr>
          <w:rFonts w:ascii="Calibri" w:hAnsi="Calibri"/>
          <w:sz w:val="22"/>
          <w:szCs w:val="22"/>
        </w:rPr>
        <w:t xml:space="preserve"> </w:t>
      </w:r>
      <w:r>
        <w:rPr>
          <w:rFonts w:ascii="Calibri" w:hAnsi="Calibri"/>
          <w:sz w:val="22"/>
          <w:szCs w:val="22"/>
        </w:rPr>
        <w:t>aktima</w:t>
      </w:r>
      <w:r w:rsidRPr="00FC221D">
        <w:rPr>
          <w:rFonts w:ascii="Calibri" w:hAnsi="Calibri"/>
          <w:sz w:val="22"/>
          <w:szCs w:val="22"/>
        </w:rPr>
        <w:t xml:space="preserve"> </w:t>
      </w:r>
      <w:r>
        <w:rPr>
          <w:rFonts w:ascii="Calibri" w:hAnsi="Calibri"/>
          <w:sz w:val="22"/>
          <w:szCs w:val="22"/>
        </w:rPr>
        <w:t>strateškog planiranja i Programu</w:t>
      </w:r>
      <w:r w:rsidRPr="00FC221D">
        <w:rPr>
          <w:rFonts w:ascii="Calibri" w:hAnsi="Calibri"/>
          <w:sz w:val="22"/>
          <w:szCs w:val="22"/>
        </w:rPr>
        <w:t xml:space="preserve"> Vlade Republike Hrvatske </w:t>
      </w:r>
      <w:r>
        <w:rPr>
          <w:rFonts w:ascii="Calibri" w:hAnsi="Calibri"/>
          <w:sz w:val="22"/>
          <w:szCs w:val="22"/>
        </w:rPr>
        <w:t>od 2024. do 2028. godine.</w:t>
      </w:r>
    </w:p>
    <w:p w14:paraId="508950FA" w14:textId="77777777" w:rsidR="000E1812" w:rsidRDefault="000E1812" w:rsidP="000E1812">
      <w:pPr>
        <w:jc w:val="both"/>
        <w:rPr>
          <w:rFonts w:ascii="Calibri" w:hAnsi="Calibri"/>
          <w:sz w:val="22"/>
          <w:szCs w:val="22"/>
        </w:rPr>
      </w:pPr>
      <w:r w:rsidRPr="00D277CC">
        <w:rPr>
          <w:rFonts w:ascii="Calibri" w:hAnsi="Calibri"/>
          <w:sz w:val="22"/>
          <w:szCs w:val="22"/>
        </w:rPr>
        <w:t>U Go</w:t>
      </w:r>
      <w:r>
        <w:rPr>
          <w:rFonts w:ascii="Calibri" w:hAnsi="Calibri"/>
          <w:sz w:val="22"/>
          <w:szCs w:val="22"/>
        </w:rPr>
        <w:t>dišnjem planu rada su definirani</w:t>
      </w:r>
      <w:r w:rsidRPr="00D277CC">
        <w:rPr>
          <w:rFonts w:ascii="Calibri" w:hAnsi="Calibri"/>
          <w:sz w:val="22"/>
          <w:szCs w:val="22"/>
        </w:rPr>
        <w:t xml:space="preserve"> </w:t>
      </w:r>
      <w:r>
        <w:rPr>
          <w:rFonts w:ascii="Calibri" w:hAnsi="Calibri"/>
          <w:sz w:val="22"/>
          <w:szCs w:val="22"/>
        </w:rPr>
        <w:t>operativni ciljevi koji se planiraju ostvariti u Ministarstvu mora, prometa i infrastrukture u 2025. godini, a koji su vezani za:</w:t>
      </w:r>
    </w:p>
    <w:p w14:paraId="065A6EB2" w14:textId="77777777" w:rsidR="000E1812" w:rsidRDefault="000E1812" w:rsidP="000E1812">
      <w:pPr>
        <w:pStyle w:val="Odlomakpopisa"/>
        <w:numPr>
          <w:ilvl w:val="0"/>
          <w:numId w:val="10"/>
        </w:numPr>
        <w:jc w:val="both"/>
        <w:rPr>
          <w:rFonts w:ascii="Calibri" w:hAnsi="Calibri"/>
          <w:sz w:val="22"/>
          <w:szCs w:val="22"/>
        </w:rPr>
      </w:pPr>
      <w:r w:rsidRPr="003B1CFF">
        <w:rPr>
          <w:rFonts w:ascii="Calibri" w:hAnsi="Calibri"/>
          <w:sz w:val="22"/>
          <w:szCs w:val="22"/>
        </w:rPr>
        <w:t xml:space="preserve">mjere sadržane u Provedbenom programu </w:t>
      </w:r>
      <w:r>
        <w:rPr>
          <w:rFonts w:ascii="Calibri" w:hAnsi="Calibri"/>
          <w:sz w:val="22"/>
          <w:szCs w:val="22"/>
        </w:rPr>
        <w:t>Ministarstva</w:t>
      </w:r>
    </w:p>
    <w:p w14:paraId="4B490D2A" w14:textId="77777777" w:rsidR="000E1812" w:rsidRDefault="000E1812" w:rsidP="000E1812">
      <w:pPr>
        <w:pStyle w:val="Odlomakpopisa"/>
        <w:numPr>
          <w:ilvl w:val="0"/>
          <w:numId w:val="10"/>
        </w:numPr>
        <w:jc w:val="both"/>
        <w:rPr>
          <w:rFonts w:ascii="Calibri" w:hAnsi="Calibri"/>
          <w:sz w:val="22"/>
          <w:szCs w:val="22"/>
        </w:rPr>
      </w:pPr>
      <w:r w:rsidRPr="000E1812">
        <w:rPr>
          <w:rFonts w:ascii="Calibri" w:hAnsi="Calibri"/>
          <w:sz w:val="22"/>
          <w:szCs w:val="22"/>
        </w:rPr>
        <w:t>djelokrug rada Ministarstva u skladu s uredbom o ustrojstvu i zakonskim aktima</w:t>
      </w:r>
    </w:p>
    <w:p w14:paraId="6E6540E5" w14:textId="77777777" w:rsidR="000E1812" w:rsidRDefault="000E1812" w:rsidP="000E1812">
      <w:pPr>
        <w:pStyle w:val="Odlomakpopisa"/>
        <w:numPr>
          <w:ilvl w:val="0"/>
          <w:numId w:val="10"/>
        </w:numPr>
        <w:jc w:val="both"/>
        <w:rPr>
          <w:rFonts w:ascii="Calibri" w:hAnsi="Calibri"/>
          <w:sz w:val="22"/>
          <w:szCs w:val="22"/>
        </w:rPr>
      </w:pPr>
      <w:r w:rsidRPr="000E1812">
        <w:rPr>
          <w:rFonts w:ascii="Calibri" w:hAnsi="Calibri"/>
          <w:sz w:val="22"/>
          <w:szCs w:val="22"/>
        </w:rPr>
        <w:t>unutarnje ustrojstvo i organizaciju Ministarstva te</w:t>
      </w:r>
    </w:p>
    <w:p w14:paraId="7B73D7ED" w14:textId="46135308" w:rsidR="000E1812" w:rsidRPr="000E1812" w:rsidRDefault="000E1812" w:rsidP="000E1812">
      <w:pPr>
        <w:pStyle w:val="Odlomakpopisa"/>
        <w:numPr>
          <w:ilvl w:val="0"/>
          <w:numId w:val="10"/>
        </w:numPr>
        <w:jc w:val="both"/>
        <w:rPr>
          <w:rFonts w:ascii="Calibri" w:hAnsi="Calibri"/>
          <w:sz w:val="22"/>
          <w:szCs w:val="22"/>
        </w:rPr>
      </w:pPr>
      <w:r w:rsidRPr="000E1812">
        <w:rPr>
          <w:rFonts w:ascii="Calibri" w:hAnsi="Calibri"/>
          <w:sz w:val="22"/>
          <w:szCs w:val="22"/>
        </w:rPr>
        <w:t xml:space="preserve">osigurana sredstva u proračunu, ljudske i druge raspoložive resurse. </w:t>
      </w:r>
    </w:p>
    <w:p w14:paraId="2A797303" w14:textId="77777777" w:rsidR="00633FFC" w:rsidRDefault="00633FFC" w:rsidP="00633FFC">
      <w:pPr>
        <w:jc w:val="both"/>
        <w:rPr>
          <w:rFonts w:ascii="Calibri" w:hAnsi="Calibri"/>
          <w:sz w:val="22"/>
          <w:szCs w:val="22"/>
        </w:rPr>
      </w:pPr>
    </w:p>
    <w:p w14:paraId="1BB55232" w14:textId="7181F6F1" w:rsidR="00EF490C" w:rsidRPr="00633FFC" w:rsidRDefault="00633FFC" w:rsidP="00EF490C">
      <w:pPr>
        <w:spacing w:after="160" w:line="259" w:lineRule="auto"/>
        <w:ind w:left="-142"/>
        <w:jc w:val="both"/>
        <w:rPr>
          <w:rFonts w:ascii="Calibri" w:hAnsi="Calibri"/>
          <w:sz w:val="22"/>
          <w:szCs w:val="22"/>
        </w:rPr>
      </w:pPr>
      <w:r>
        <w:rPr>
          <w:rFonts w:ascii="Calibri" w:hAnsi="Calibri"/>
          <w:sz w:val="22"/>
          <w:szCs w:val="22"/>
        </w:rPr>
        <w:t>G</w:t>
      </w:r>
      <w:r w:rsidRPr="00633FFC">
        <w:rPr>
          <w:rFonts w:ascii="Calibri" w:hAnsi="Calibri"/>
          <w:sz w:val="22"/>
          <w:szCs w:val="22"/>
        </w:rPr>
        <w:t>odišnji izvještaj o radu je upravljačko-izvještajni akt s pregledom ostvarenja</w:t>
      </w:r>
      <w:r>
        <w:rPr>
          <w:rFonts w:ascii="Calibri" w:hAnsi="Calibri"/>
          <w:sz w:val="22"/>
          <w:szCs w:val="22"/>
        </w:rPr>
        <w:t xml:space="preserve"> mjera iz Provedbenog programa i ciljeva iz djelokruga rada te </w:t>
      </w:r>
      <w:r w:rsidRPr="00633FFC">
        <w:rPr>
          <w:rFonts w:ascii="Calibri" w:hAnsi="Calibri"/>
          <w:sz w:val="22"/>
          <w:szCs w:val="22"/>
        </w:rPr>
        <w:t>operativnih ciljeva i pokazatelja koji su planirani u Go</w:t>
      </w:r>
      <w:r>
        <w:rPr>
          <w:rFonts w:ascii="Calibri" w:hAnsi="Calibri"/>
          <w:sz w:val="22"/>
          <w:szCs w:val="22"/>
        </w:rPr>
        <w:t xml:space="preserve">dišnjem planu rada </w:t>
      </w:r>
      <w:r w:rsidR="002B066D">
        <w:rPr>
          <w:rFonts w:ascii="Calibri" w:hAnsi="Calibri"/>
          <w:sz w:val="22"/>
          <w:szCs w:val="22"/>
        </w:rPr>
        <w:t xml:space="preserve">Ministarstva </w:t>
      </w:r>
      <w:r>
        <w:rPr>
          <w:rFonts w:ascii="Calibri" w:hAnsi="Calibri"/>
          <w:sz w:val="22"/>
          <w:szCs w:val="22"/>
        </w:rPr>
        <w:t>za 2025. godinu</w:t>
      </w:r>
      <w:r w:rsidR="007355D9">
        <w:rPr>
          <w:rFonts w:ascii="Calibri" w:hAnsi="Calibri"/>
          <w:sz w:val="22"/>
          <w:szCs w:val="22"/>
        </w:rPr>
        <w:t>.</w:t>
      </w:r>
    </w:p>
    <w:p w14:paraId="0BA04311" w14:textId="255CA95E" w:rsidR="000E1812" w:rsidRDefault="00633FFC" w:rsidP="00EF490C">
      <w:pPr>
        <w:spacing w:after="160" w:line="259" w:lineRule="auto"/>
        <w:ind w:left="-142"/>
        <w:jc w:val="both"/>
        <w:rPr>
          <w:rFonts w:ascii="Calibri" w:hAnsi="Calibri"/>
          <w:sz w:val="22"/>
          <w:szCs w:val="22"/>
        </w:rPr>
      </w:pPr>
      <w:r w:rsidRPr="00633FFC">
        <w:rPr>
          <w:rFonts w:ascii="Calibri" w:hAnsi="Calibri"/>
          <w:sz w:val="22"/>
          <w:szCs w:val="22"/>
        </w:rPr>
        <w:t>U nastav</w:t>
      </w:r>
      <w:r>
        <w:rPr>
          <w:rFonts w:ascii="Calibri" w:hAnsi="Calibri"/>
          <w:sz w:val="22"/>
          <w:szCs w:val="22"/>
        </w:rPr>
        <w:t>ku se daje tablični pregled G</w:t>
      </w:r>
      <w:r w:rsidRPr="00633FFC">
        <w:rPr>
          <w:rFonts w:ascii="Calibri" w:hAnsi="Calibri"/>
          <w:sz w:val="22"/>
          <w:szCs w:val="22"/>
        </w:rPr>
        <w:t>odišnjeg izvještaja o radu po ustrojstvenim jedinicama Ministarstva.</w:t>
      </w:r>
    </w:p>
    <w:p w14:paraId="6EDA3B6F" w14:textId="0E16FD9F" w:rsidR="00E80CD3" w:rsidRDefault="00E80CD3" w:rsidP="00EF490C">
      <w:pPr>
        <w:spacing w:after="160" w:line="259" w:lineRule="auto"/>
        <w:ind w:left="-142"/>
        <w:jc w:val="both"/>
        <w:rPr>
          <w:rFonts w:ascii="Calibri" w:hAnsi="Calibri"/>
          <w:sz w:val="22"/>
          <w:szCs w:val="22"/>
        </w:rPr>
      </w:pPr>
    </w:p>
    <w:p w14:paraId="230C67FF" w14:textId="257762F0" w:rsidR="00E80CD3" w:rsidRDefault="00E80CD3" w:rsidP="00EF490C">
      <w:pPr>
        <w:spacing w:after="160" w:line="259" w:lineRule="auto"/>
        <w:ind w:left="-142"/>
        <w:jc w:val="both"/>
        <w:rPr>
          <w:rFonts w:ascii="Calibri" w:hAnsi="Calibri"/>
          <w:sz w:val="22"/>
          <w:szCs w:val="22"/>
        </w:rPr>
      </w:pPr>
    </w:p>
    <w:p w14:paraId="3C029937" w14:textId="77777777" w:rsidR="00E80CD3" w:rsidRDefault="00E80CD3" w:rsidP="00EF490C">
      <w:pPr>
        <w:spacing w:after="160" w:line="259" w:lineRule="auto"/>
        <w:ind w:left="-142"/>
        <w:jc w:val="both"/>
        <w:rPr>
          <w:rFonts w:ascii="Calibri" w:hAnsi="Calibri"/>
          <w:sz w:val="22"/>
          <w:szCs w:val="22"/>
        </w:rPr>
        <w:sectPr w:rsidR="00E80CD3" w:rsidSect="0042797F">
          <w:pgSz w:w="11907" w:h="16840" w:code="9"/>
          <w:pgMar w:top="851" w:right="1134" w:bottom="1276" w:left="1440" w:header="709" w:footer="699" w:gutter="0"/>
          <w:cols w:space="708"/>
          <w:titlePg/>
          <w:docGrid w:linePitch="360"/>
        </w:sectPr>
      </w:pPr>
    </w:p>
    <w:p w14:paraId="138F97DA" w14:textId="4B3B3A4C" w:rsidR="00E80CD3" w:rsidRPr="00086FB4" w:rsidRDefault="00D0751F" w:rsidP="00A920E6">
      <w:pPr>
        <w:pStyle w:val="Odlomakpopisa"/>
        <w:numPr>
          <w:ilvl w:val="0"/>
          <w:numId w:val="11"/>
        </w:numPr>
        <w:spacing w:after="160" w:line="259" w:lineRule="auto"/>
        <w:jc w:val="both"/>
        <w:rPr>
          <w:rFonts w:ascii="Calibri" w:hAnsi="Calibri"/>
          <w:sz w:val="22"/>
          <w:szCs w:val="22"/>
        </w:rPr>
      </w:pPr>
      <w:r w:rsidRPr="00D0751F">
        <w:rPr>
          <w:rFonts w:ascii="Calibri" w:eastAsia="SimSun" w:hAnsi="Calibri"/>
          <w:b/>
          <w:bCs/>
          <w:color w:val="365F91"/>
          <w:sz w:val="28"/>
          <w:szCs w:val="28"/>
          <w:lang w:eastAsia="zh-CN"/>
        </w:rPr>
        <w:lastRenderedPageBreak/>
        <w:t>Financijski izvještaji</w:t>
      </w:r>
      <w:r w:rsidR="00247663">
        <w:rPr>
          <w:rFonts w:ascii="Calibri" w:eastAsia="SimSun" w:hAnsi="Calibri"/>
          <w:b/>
          <w:bCs/>
          <w:color w:val="365F91"/>
          <w:sz w:val="28"/>
          <w:szCs w:val="28"/>
          <w:lang w:eastAsia="zh-CN"/>
        </w:rPr>
        <w:t xml:space="preserve"> Ministarstva </w:t>
      </w:r>
    </w:p>
    <w:tbl>
      <w:tblPr>
        <w:tblW w:w="13892" w:type="dxa"/>
        <w:tblLook w:val="04A0" w:firstRow="1" w:lastRow="0" w:firstColumn="1" w:lastColumn="0" w:noHBand="0" w:noVBand="1"/>
      </w:tblPr>
      <w:tblGrid>
        <w:gridCol w:w="1318"/>
        <w:gridCol w:w="5157"/>
        <w:gridCol w:w="2919"/>
        <w:gridCol w:w="1462"/>
        <w:gridCol w:w="1462"/>
        <w:gridCol w:w="1574"/>
      </w:tblGrid>
      <w:tr w:rsidR="00A920E6" w:rsidRPr="00A920E6" w14:paraId="593CB488" w14:textId="77777777" w:rsidTr="00145A75">
        <w:trPr>
          <w:trHeight w:val="1002"/>
        </w:trPr>
        <w:tc>
          <w:tcPr>
            <w:tcW w:w="13892" w:type="dxa"/>
            <w:gridSpan w:val="6"/>
            <w:tcBorders>
              <w:top w:val="nil"/>
              <w:left w:val="nil"/>
              <w:bottom w:val="nil"/>
              <w:right w:val="nil"/>
            </w:tcBorders>
            <w:shd w:val="clear" w:color="auto" w:fill="auto"/>
            <w:vAlign w:val="center"/>
            <w:hideMark/>
          </w:tcPr>
          <w:p w14:paraId="3A869CDE" w14:textId="77777777" w:rsidR="00A920E6" w:rsidRPr="00A920E6" w:rsidRDefault="00A920E6" w:rsidP="00A920E6">
            <w:pPr>
              <w:jc w:val="center"/>
              <w:rPr>
                <w:rFonts w:ascii="Arial" w:hAnsi="Arial" w:cs="Arial"/>
                <w:b/>
                <w:bCs/>
                <w:color w:val="0C0C0C"/>
                <w:sz w:val="28"/>
                <w:szCs w:val="28"/>
              </w:rPr>
            </w:pPr>
            <w:r w:rsidRPr="00A920E6">
              <w:rPr>
                <w:rFonts w:ascii="Arial" w:hAnsi="Arial" w:cs="Arial"/>
                <w:b/>
                <w:bCs/>
                <w:color w:val="0C0C0C"/>
                <w:sz w:val="28"/>
                <w:szCs w:val="28"/>
              </w:rPr>
              <w:t>IZVJEŠTAJ O PRIHODIMA I RASHODIMA, PRIMICIMA I IZDACIMA</w:t>
            </w:r>
          </w:p>
        </w:tc>
      </w:tr>
      <w:tr w:rsidR="00A920E6" w:rsidRPr="00A920E6" w14:paraId="48F87231" w14:textId="77777777" w:rsidTr="00145A75">
        <w:trPr>
          <w:trHeight w:val="960"/>
        </w:trPr>
        <w:tc>
          <w:tcPr>
            <w:tcW w:w="1318" w:type="dxa"/>
            <w:tcBorders>
              <w:top w:val="single" w:sz="4" w:space="0" w:color="000000"/>
              <w:left w:val="single" w:sz="4" w:space="0" w:color="000000"/>
              <w:bottom w:val="nil"/>
              <w:right w:val="single" w:sz="4" w:space="0" w:color="000080"/>
            </w:tcBorders>
            <w:shd w:val="clear" w:color="auto" w:fill="auto"/>
            <w:vAlign w:val="center"/>
            <w:hideMark/>
          </w:tcPr>
          <w:p w14:paraId="08E6B4FA" w14:textId="77777777" w:rsidR="00A920E6" w:rsidRPr="00A920E6" w:rsidRDefault="00A920E6" w:rsidP="00A920E6">
            <w:pPr>
              <w:jc w:val="center"/>
              <w:rPr>
                <w:rFonts w:ascii="Arial" w:hAnsi="Arial" w:cs="Arial"/>
                <w:b/>
                <w:bCs/>
                <w:color w:val="000000"/>
                <w:sz w:val="18"/>
                <w:szCs w:val="18"/>
              </w:rPr>
            </w:pPr>
            <w:r w:rsidRPr="00A920E6">
              <w:rPr>
                <w:rFonts w:ascii="Arial" w:hAnsi="Arial" w:cs="Arial"/>
                <w:b/>
                <w:bCs/>
                <w:color w:val="000000"/>
                <w:sz w:val="18"/>
                <w:szCs w:val="18"/>
              </w:rPr>
              <w:t xml:space="preserve">Račun iz </w:t>
            </w:r>
            <w:proofErr w:type="spellStart"/>
            <w:r w:rsidRPr="00A920E6">
              <w:rPr>
                <w:rFonts w:ascii="Arial" w:hAnsi="Arial" w:cs="Arial"/>
                <w:b/>
                <w:bCs/>
                <w:color w:val="000000"/>
                <w:sz w:val="18"/>
                <w:szCs w:val="18"/>
              </w:rPr>
              <w:t>Rač</w:t>
            </w:r>
            <w:proofErr w:type="spellEnd"/>
            <w:r w:rsidRPr="00A920E6">
              <w:rPr>
                <w:rFonts w:ascii="Arial" w:hAnsi="Arial" w:cs="Arial"/>
                <w:b/>
                <w:bCs/>
                <w:color w:val="000000"/>
                <w:sz w:val="18"/>
                <w:szCs w:val="18"/>
              </w:rPr>
              <w:t>. plana</w:t>
            </w:r>
          </w:p>
        </w:tc>
        <w:tc>
          <w:tcPr>
            <w:tcW w:w="5157" w:type="dxa"/>
            <w:tcBorders>
              <w:top w:val="single" w:sz="4" w:space="0" w:color="000000"/>
              <w:left w:val="nil"/>
              <w:bottom w:val="nil"/>
              <w:right w:val="single" w:sz="4" w:space="0" w:color="000080"/>
            </w:tcBorders>
            <w:shd w:val="clear" w:color="auto" w:fill="auto"/>
            <w:vAlign w:val="center"/>
            <w:hideMark/>
          </w:tcPr>
          <w:p w14:paraId="15B9A00F" w14:textId="77777777" w:rsidR="00A920E6" w:rsidRPr="00A920E6" w:rsidRDefault="00A920E6" w:rsidP="00A920E6">
            <w:pPr>
              <w:jc w:val="center"/>
              <w:rPr>
                <w:rFonts w:ascii="Arial" w:hAnsi="Arial" w:cs="Arial"/>
                <w:b/>
                <w:bCs/>
                <w:color w:val="000000"/>
                <w:sz w:val="18"/>
                <w:szCs w:val="18"/>
              </w:rPr>
            </w:pPr>
            <w:r w:rsidRPr="00A920E6">
              <w:rPr>
                <w:rFonts w:ascii="Arial" w:hAnsi="Arial" w:cs="Arial"/>
                <w:b/>
                <w:bCs/>
                <w:color w:val="000000"/>
                <w:sz w:val="18"/>
                <w:szCs w:val="18"/>
              </w:rPr>
              <w:t>Opis stavke</w:t>
            </w:r>
          </w:p>
        </w:tc>
        <w:tc>
          <w:tcPr>
            <w:tcW w:w="2919" w:type="dxa"/>
            <w:tcBorders>
              <w:top w:val="single" w:sz="4" w:space="0" w:color="000000"/>
              <w:left w:val="nil"/>
              <w:bottom w:val="nil"/>
              <w:right w:val="single" w:sz="4" w:space="0" w:color="000080"/>
            </w:tcBorders>
            <w:shd w:val="clear" w:color="auto" w:fill="auto"/>
            <w:vAlign w:val="center"/>
            <w:hideMark/>
          </w:tcPr>
          <w:p w14:paraId="0D3E0CA2" w14:textId="77777777" w:rsidR="00A920E6" w:rsidRPr="00A920E6" w:rsidRDefault="00A920E6" w:rsidP="00A920E6">
            <w:pPr>
              <w:jc w:val="center"/>
              <w:rPr>
                <w:rFonts w:ascii="Arial" w:hAnsi="Arial" w:cs="Arial"/>
                <w:b/>
                <w:bCs/>
                <w:color w:val="0C0C0C"/>
                <w:sz w:val="18"/>
                <w:szCs w:val="18"/>
              </w:rPr>
            </w:pPr>
            <w:r w:rsidRPr="00A920E6">
              <w:rPr>
                <w:rFonts w:ascii="Arial" w:hAnsi="Arial" w:cs="Arial"/>
                <w:b/>
                <w:bCs/>
                <w:color w:val="0C0C0C"/>
                <w:sz w:val="18"/>
                <w:szCs w:val="18"/>
              </w:rPr>
              <w:t>Šifra</w:t>
            </w:r>
          </w:p>
        </w:tc>
        <w:tc>
          <w:tcPr>
            <w:tcW w:w="1462" w:type="dxa"/>
            <w:tcBorders>
              <w:top w:val="single" w:sz="4" w:space="0" w:color="000000"/>
              <w:left w:val="nil"/>
              <w:bottom w:val="nil"/>
              <w:right w:val="single" w:sz="4" w:space="0" w:color="000080"/>
            </w:tcBorders>
            <w:shd w:val="clear" w:color="auto" w:fill="auto"/>
            <w:vAlign w:val="center"/>
            <w:hideMark/>
          </w:tcPr>
          <w:p w14:paraId="20776AA3" w14:textId="77777777" w:rsidR="00A920E6" w:rsidRPr="00A920E6" w:rsidRDefault="00A920E6" w:rsidP="00A920E6">
            <w:pPr>
              <w:jc w:val="center"/>
              <w:rPr>
                <w:rFonts w:ascii="Arial" w:hAnsi="Arial" w:cs="Arial"/>
                <w:b/>
                <w:bCs/>
                <w:color w:val="000000"/>
                <w:sz w:val="18"/>
                <w:szCs w:val="18"/>
              </w:rPr>
            </w:pPr>
            <w:r w:rsidRPr="00A920E6">
              <w:rPr>
                <w:rFonts w:ascii="Arial" w:hAnsi="Arial" w:cs="Arial"/>
                <w:b/>
                <w:bCs/>
                <w:color w:val="000000"/>
                <w:sz w:val="18"/>
                <w:szCs w:val="18"/>
              </w:rPr>
              <w:t xml:space="preserve">Ostvareno u izvještajnom razdoblju </w:t>
            </w:r>
            <w:proofErr w:type="spellStart"/>
            <w:r w:rsidRPr="00A920E6">
              <w:rPr>
                <w:rFonts w:ascii="Arial" w:hAnsi="Arial" w:cs="Arial"/>
                <w:b/>
                <w:bCs/>
                <w:color w:val="000000"/>
                <w:sz w:val="18"/>
                <w:szCs w:val="18"/>
              </w:rPr>
              <w:t>preth</w:t>
            </w:r>
            <w:proofErr w:type="spellEnd"/>
            <w:r w:rsidRPr="00A920E6">
              <w:rPr>
                <w:rFonts w:ascii="Arial" w:hAnsi="Arial" w:cs="Arial"/>
                <w:b/>
                <w:bCs/>
                <w:color w:val="000000"/>
                <w:sz w:val="18"/>
                <w:szCs w:val="18"/>
              </w:rPr>
              <w:t>. godine</w:t>
            </w:r>
          </w:p>
        </w:tc>
        <w:tc>
          <w:tcPr>
            <w:tcW w:w="1462" w:type="dxa"/>
            <w:tcBorders>
              <w:top w:val="single" w:sz="4" w:space="0" w:color="000000"/>
              <w:left w:val="nil"/>
              <w:bottom w:val="nil"/>
              <w:right w:val="single" w:sz="4" w:space="0" w:color="000080"/>
            </w:tcBorders>
            <w:shd w:val="clear" w:color="auto" w:fill="auto"/>
            <w:vAlign w:val="center"/>
            <w:hideMark/>
          </w:tcPr>
          <w:p w14:paraId="2042A324" w14:textId="77777777" w:rsidR="00A920E6" w:rsidRPr="00A920E6" w:rsidRDefault="00A920E6" w:rsidP="00A920E6">
            <w:pPr>
              <w:jc w:val="center"/>
              <w:rPr>
                <w:rFonts w:ascii="Arial" w:hAnsi="Arial" w:cs="Arial"/>
                <w:b/>
                <w:bCs/>
                <w:color w:val="000000"/>
                <w:sz w:val="18"/>
                <w:szCs w:val="18"/>
              </w:rPr>
            </w:pPr>
            <w:r w:rsidRPr="00A920E6">
              <w:rPr>
                <w:rFonts w:ascii="Arial" w:hAnsi="Arial" w:cs="Arial"/>
                <w:b/>
                <w:bCs/>
                <w:color w:val="000000"/>
                <w:sz w:val="18"/>
                <w:szCs w:val="18"/>
              </w:rPr>
              <w:t xml:space="preserve">Ostvareno u izvještajnom razdoblju </w:t>
            </w:r>
            <w:r w:rsidRPr="00A920E6">
              <w:rPr>
                <w:rFonts w:ascii="Arial" w:hAnsi="Arial" w:cs="Arial"/>
                <w:b/>
                <w:bCs/>
                <w:color w:val="000000"/>
                <w:sz w:val="18"/>
                <w:szCs w:val="18"/>
              </w:rPr>
              <w:br/>
              <w:t>tekuće godine</w:t>
            </w:r>
          </w:p>
        </w:tc>
        <w:tc>
          <w:tcPr>
            <w:tcW w:w="1574" w:type="dxa"/>
            <w:tcBorders>
              <w:top w:val="single" w:sz="4" w:space="0" w:color="000000"/>
              <w:left w:val="nil"/>
              <w:bottom w:val="single" w:sz="4" w:space="0" w:color="000000"/>
              <w:right w:val="single" w:sz="4" w:space="0" w:color="000000"/>
            </w:tcBorders>
            <w:shd w:val="clear" w:color="auto" w:fill="auto"/>
            <w:vAlign w:val="center"/>
            <w:hideMark/>
          </w:tcPr>
          <w:p w14:paraId="37797133" w14:textId="77777777" w:rsidR="00A920E6" w:rsidRPr="00A920E6" w:rsidRDefault="00A920E6" w:rsidP="00A920E6">
            <w:pPr>
              <w:jc w:val="center"/>
              <w:rPr>
                <w:rFonts w:ascii="Arial" w:hAnsi="Arial" w:cs="Arial"/>
                <w:b/>
                <w:bCs/>
                <w:color w:val="000000"/>
                <w:sz w:val="18"/>
                <w:szCs w:val="18"/>
              </w:rPr>
            </w:pPr>
            <w:r w:rsidRPr="00A920E6">
              <w:rPr>
                <w:rFonts w:ascii="Arial" w:hAnsi="Arial" w:cs="Arial"/>
                <w:b/>
                <w:bCs/>
                <w:color w:val="000000"/>
                <w:sz w:val="18"/>
                <w:szCs w:val="18"/>
              </w:rPr>
              <w:t>Indeks</w:t>
            </w:r>
            <w:r w:rsidRPr="00A920E6">
              <w:rPr>
                <w:rFonts w:ascii="Arial" w:hAnsi="Arial" w:cs="Arial"/>
                <w:b/>
                <w:bCs/>
                <w:color w:val="000000"/>
                <w:sz w:val="18"/>
                <w:szCs w:val="18"/>
              </w:rPr>
              <w:br/>
              <w:t>(5/4)</w:t>
            </w:r>
          </w:p>
        </w:tc>
      </w:tr>
      <w:tr w:rsidR="00A920E6" w:rsidRPr="00A920E6" w14:paraId="48665F45" w14:textId="77777777" w:rsidTr="00145A75">
        <w:trPr>
          <w:trHeight w:val="240"/>
        </w:trPr>
        <w:tc>
          <w:tcPr>
            <w:tcW w:w="1318" w:type="dxa"/>
            <w:tcBorders>
              <w:top w:val="single" w:sz="4" w:space="0" w:color="000000"/>
              <w:left w:val="single" w:sz="4" w:space="0" w:color="000000"/>
              <w:bottom w:val="single" w:sz="4" w:space="0" w:color="000000"/>
              <w:right w:val="single" w:sz="4" w:space="0" w:color="000080"/>
            </w:tcBorders>
            <w:shd w:val="clear" w:color="FFFFCC" w:fill="FFFFCC"/>
            <w:vAlign w:val="center"/>
            <w:hideMark/>
          </w:tcPr>
          <w:p w14:paraId="7E419245" w14:textId="77777777" w:rsidR="00A920E6" w:rsidRPr="00A920E6" w:rsidRDefault="00A920E6" w:rsidP="00A920E6">
            <w:pPr>
              <w:jc w:val="center"/>
              <w:rPr>
                <w:rFonts w:ascii="Arial" w:hAnsi="Arial" w:cs="Arial"/>
                <w:b/>
                <w:bCs/>
                <w:color w:val="000080"/>
                <w:sz w:val="18"/>
                <w:szCs w:val="18"/>
              </w:rPr>
            </w:pPr>
            <w:r w:rsidRPr="00A920E6">
              <w:rPr>
                <w:rFonts w:ascii="Arial" w:hAnsi="Arial" w:cs="Arial"/>
                <w:b/>
                <w:bCs/>
                <w:color w:val="000080"/>
                <w:sz w:val="18"/>
                <w:szCs w:val="18"/>
              </w:rPr>
              <w:t>1</w:t>
            </w:r>
          </w:p>
        </w:tc>
        <w:tc>
          <w:tcPr>
            <w:tcW w:w="5157" w:type="dxa"/>
            <w:tcBorders>
              <w:top w:val="single" w:sz="4" w:space="0" w:color="000000"/>
              <w:left w:val="nil"/>
              <w:bottom w:val="single" w:sz="4" w:space="0" w:color="000000"/>
              <w:right w:val="single" w:sz="4" w:space="0" w:color="000080"/>
            </w:tcBorders>
            <w:shd w:val="clear" w:color="FFFFCC" w:fill="FFFFCC"/>
            <w:vAlign w:val="center"/>
            <w:hideMark/>
          </w:tcPr>
          <w:p w14:paraId="3495646B" w14:textId="77777777" w:rsidR="00A920E6" w:rsidRPr="00A920E6" w:rsidRDefault="00A920E6" w:rsidP="00A920E6">
            <w:pPr>
              <w:jc w:val="center"/>
              <w:rPr>
                <w:rFonts w:ascii="Arial" w:hAnsi="Arial" w:cs="Arial"/>
                <w:b/>
                <w:bCs/>
                <w:color w:val="000080"/>
                <w:sz w:val="18"/>
                <w:szCs w:val="18"/>
              </w:rPr>
            </w:pPr>
            <w:r w:rsidRPr="00A920E6">
              <w:rPr>
                <w:rFonts w:ascii="Arial" w:hAnsi="Arial" w:cs="Arial"/>
                <w:b/>
                <w:bCs/>
                <w:color w:val="000080"/>
                <w:sz w:val="18"/>
                <w:szCs w:val="18"/>
              </w:rPr>
              <w:t>2</w:t>
            </w:r>
          </w:p>
        </w:tc>
        <w:tc>
          <w:tcPr>
            <w:tcW w:w="2919" w:type="dxa"/>
            <w:tcBorders>
              <w:top w:val="single" w:sz="4" w:space="0" w:color="000000"/>
              <w:left w:val="nil"/>
              <w:bottom w:val="single" w:sz="4" w:space="0" w:color="000000"/>
              <w:right w:val="single" w:sz="4" w:space="0" w:color="000080"/>
            </w:tcBorders>
            <w:shd w:val="clear" w:color="FFFFCC" w:fill="FFFFCC"/>
            <w:vAlign w:val="center"/>
            <w:hideMark/>
          </w:tcPr>
          <w:p w14:paraId="623A2061" w14:textId="77777777" w:rsidR="00A920E6" w:rsidRPr="00A920E6" w:rsidRDefault="00A920E6" w:rsidP="00A920E6">
            <w:pPr>
              <w:jc w:val="center"/>
              <w:rPr>
                <w:rFonts w:ascii="Arial" w:hAnsi="Arial" w:cs="Arial"/>
                <w:b/>
                <w:bCs/>
                <w:color w:val="0D0D0D"/>
                <w:sz w:val="18"/>
                <w:szCs w:val="18"/>
              </w:rPr>
            </w:pPr>
            <w:r w:rsidRPr="00A920E6">
              <w:rPr>
                <w:rFonts w:ascii="Arial" w:hAnsi="Arial" w:cs="Arial"/>
                <w:b/>
                <w:bCs/>
                <w:color w:val="0D0D0D"/>
                <w:sz w:val="18"/>
                <w:szCs w:val="18"/>
              </w:rPr>
              <w:t>3</w:t>
            </w:r>
          </w:p>
        </w:tc>
        <w:tc>
          <w:tcPr>
            <w:tcW w:w="1462" w:type="dxa"/>
            <w:tcBorders>
              <w:top w:val="single" w:sz="4" w:space="0" w:color="000000"/>
              <w:left w:val="nil"/>
              <w:bottom w:val="single" w:sz="4" w:space="0" w:color="000000"/>
              <w:right w:val="single" w:sz="4" w:space="0" w:color="000080"/>
            </w:tcBorders>
            <w:shd w:val="clear" w:color="FFFFCC" w:fill="FFFFCC"/>
            <w:noWrap/>
            <w:vAlign w:val="center"/>
            <w:hideMark/>
          </w:tcPr>
          <w:p w14:paraId="6AF91C53" w14:textId="77777777" w:rsidR="00A920E6" w:rsidRPr="00A920E6" w:rsidRDefault="00A920E6" w:rsidP="00A920E6">
            <w:pPr>
              <w:jc w:val="center"/>
              <w:rPr>
                <w:rFonts w:ascii="Arial" w:hAnsi="Arial" w:cs="Arial"/>
                <w:b/>
                <w:bCs/>
                <w:color w:val="000080"/>
                <w:sz w:val="18"/>
                <w:szCs w:val="18"/>
              </w:rPr>
            </w:pPr>
            <w:r w:rsidRPr="00A920E6">
              <w:rPr>
                <w:rFonts w:ascii="Arial" w:hAnsi="Arial" w:cs="Arial"/>
                <w:b/>
                <w:bCs/>
                <w:color w:val="000080"/>
                <w:sz w:val="18"/>
                <w:szCs w:val="18"/>
              </w:rPr>
              <w:t>4</w:t>
            </w:r>
          </w:p>
        </w:tc>
        <w:tc>
          <w:tcPr>
            <w:tcW w:w="1462" w:type="dxa"/>
            <w:tcBorders>
              <w:top w:val="single" w:sz="4" w:space="0" w:color="000000"/>
              <w:left w:val="nil"/>
              <w:bottom w:val="single" w:sz="4" w:space="0" w:color="000000"/>
              <w:right w:val="single" w:sz="4" w:space="0" w:color="000080"/>
            </w:tcBorders>
            <w:shd w:val="clear" w:color="FFFFCC" w:fill="FFFFCC"/>
            <w:noWrap/>
            <w:vAlign w:val="center"/>
            <w:hideMark/>
          </w:tcPr>
          <w:p w14:paraId="71C09C5A" w14:textId="77777777" w:rsidR="00A920E6" w:rsidRPr="00A920E6" w:rsidRDefault="00A920E6" w:rsidP="00A920E6">
            <w:pPr>
              <w:jc w:val="center"/>
              <w:rPr>
                <w:rFonts w:ascii="Arial" w:hAnsi="Arial" w:cs="Arial"/>
                <w:b/>
                <w:bCs/>
                <w:color w:val="000080"/>
                <w:sz w:val="18"/>
                <w:szCs w:val="18"/>
              </w:rPr>
            </w:pPr>
            <w:r w:rsidRPr="00A920E6">
              <w:rPr>
                <w:rFonts w:ascii="Arial" w:hAnsi="Arial" w:cs="Arial"/>
                <w:b/>
                <w:bCs/>
                <w:color w:val="000080"/>
                <w:sz w:val="18"/>
                <w:szCs w:val="18"/>
              </w:rPr>
              <w:t>5</w:t>
            </w:r>
          </w:p>
        </w:tc>
        <w:tc>
          <w:tcPr>
            <w:tcW w:w="1574" w:type="dxa"/>
            <w:tcBorders>
              <w:top w:val="nil"/>
              <w:left w:val="nil"/>
              <w:bottom w:val="single" w:sz="4" w:space="0" w:color="000000"/>
              <w:right w:val="single" w:sz="4" w:space="0" w:color="000000"/>
            </w:tcBorders>
            <w:shd w:val="clear" w:color="FFFFCC" w:fill="FFFFCC"/>
            <w:noWrap/>
            <w:vAlign w:val="center"/>
            <w:hideMark/>
          </w:tcPr>
          <w:p w14:paraId="053B20CF" w14:textId="77777777" w:rsidR="00A920E6" w:rsidRPr="00A920E6" w:rsidRDefault="00A920E6" w:rsidP="00A920E6">
            <w:pPr>
              <w:jc w:val="center"/>
              <w:rPr>
                <w:rFonts w:ascii="Arial" w:hAnsi="Arial" w:cs="Arial"/>
                <w:b/>
                <w:bCs/>
                <w:color w:val="000080"/>
                <w:sz w:val="18"/>
                <w:szCs w:val="18"/>
              </w:rPr>
            </w:pPr>
            <w:r w:rsidRPr="00A920E6">
              <w:rPr>
                <w:rFonts w:ascii="Arial" w:hAnsi="Arial" w:cs="Arial"/>
                <w:b/>
                <w:bCs/>
                <w:color w:val="000080"/>
                <w:sz w:val="18"/>
                <w:szCs w:val="18"/>
              </w:rPr>
              <w:t>6</w:t>
            </w:r>
          </w:p>
        </w:tc>
      </w:tr>
      <w:tr w:rsidR="00A920E6" w:rsidRPr="00A920E6" w14:paraId="22E14EBC" w14:textId="77777777" w:rsidTr="00145A75">
        <w:trPr>
          <w:trHeight w:val="402"/>
        </w:trPr>
        <w:tc>
          <w:tcPr>
            <w:tcW w:w="6475" w:type="dxa"/>
            <w:gridSpan w:val="2"/>
            <w:tcBorders>
              <w:top w:val="single" w:sz="4" w:space="0" w:color="000000"/>
              <w:left w:val="single" w:sz="4" w:space="0" w:color="000000"/>
              <w:bottom w:val="single" w:sz="4" w:space="0" w:color="C0C0C0"/>
              <w:right w:val="single" w:sz="4" w:space="0" w:color="000080"/>
            </w:tcBorders>
            <w:shd w:val="clear" w:color="DBE5F1" w:fill="DBE5F1"/>
            <w:vAlign w:val="center"/>
            <w:hideMark/>
          </w:tcPr>
          <w:p w14:paraId="1A61AB24" w14:textId="77777777" w:rsidR="00A920E6" w:rsidRPr="00A920E6" w:rsidRDefault="00A920E6" w:rsidP="00A920E6">
            <w:pPr>
              <w:rPr>
                <w:rFonts w:ascii="Arial" w:hAnsi="Arial" w:cs="Arial"/>
                <w:b/>
                <w:bCs/>
                <w:color w:val="0C0C0C"/>
              </w:rPr>
            </w:pPr>
            <w:r w:rsidRPr="00A920E6">
              <w:rPr>
                <w:rFonts w:ascii="Arial" w:hAnsi="Arial" w:cs="Arial"/>
                <w:b/>
                <w:bCs/>
                <w:color w:val="0C0C0C"/>
              </w:rPr>
              <w:t>Prihodi i rashodi poslovanja</w:t>
            </w:r>
          </w:p>
        </w:tc>
        <w:tc>
          <w:tcPr>
            <w:tcW w:w="2919" w:type="dxa"/>
            <w:tcBorders>
              <w:top w:val="nil"/>
              <w:left w:val="single" w:sz="4" w:space="0" w:color="000000"/>
              <w:bottom w:val="single" w:sz="4" w:space="0" w:color="C0C0C0"/>
              <w:right w:val="nil"/>
            </w:tcBorders>
            <w:shd w:val="clear" w:color="DBE5F1" w:fill="DBE5F1"/>
            <w:vAlign w:val="center"/>
            <w:hideMark/>
          </w:tcPr>
          <w:p w14:paraId="2FEF4C16"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 </w:t>
            </w:r>
          </w:p>
        </w:tc>
        <w:tc>
          <w:tcPr>
            <w:tcW w:w="1462" w:type="dxa"/>
            <w:tcBorders>
              <w:top w:val="nil"/>
              <w:left w:val="single" w:sz="4" w:space="0" w:color="000080"/>
              <w:bottom w:val="single" w:sz="4" w:space="0" w:color="C0C0C0"/>
              <w:right w:val="single" w:sz="4" w:space="0" w:color="000080"/>
            </w:tcBorders>
            <w:shd w:val="clear" w:color="DBE5F1" w:fill="DBE5F1"/>
            <w:noWrap/>
            <w:vAlign w:val="center"/>
            <w:hideMark/>
          </w:tcPr>
          <w:p w14:paraId="0A46B0D3" w14:textId="77777777" w:rsidR="00A920E6" w:rsidRPr="00A920E6" w:rsidRDefault="00A920E6" w:rsidP="00A920E6">
            <w:pPr>
              <w:rPr>
                <w:rFonts w:ascii="Arial" w:hAnsi="Arial" w:cs="Arial"/>
                <w:b/>
                <w:bCs/>
                <w:color w:val="0C0C0C"/>
                <w:sz w:val="16"/>
                <w:szCs w:val="16"/>
              </w:rPr>
            </w:pPr>
            <w:r w:rsidRPr="00A920E6">
              <w:rPr>
                <w:rFonts w:ascii="Arial" w:hAnsi="Arial" w:cs="Arial"/>
                <w:b/>
                <w:bCs/>
                <w:color w:val="0C0C0C"/>
                <w:sz w:val="16"/>
                <w:szCs w:val="16"/>
              </w:rPr>
              <w:t> </w:t>
            </w:r>
          </w:p>
        </w:tc>
        <w:tc>
          <w:tcPr>
            <w:tcW w:w="1462" w:type="dxa"/>
            <w:tcBorders>
              <w:top w:val="nil"/>
              <w:left w:val="nil"/>
              <w:bottom w:val="single" w:sz="4" w:space="0" w:color="C0C0C0"/>
              <w:right w:val="single" w:sz="4" w:space="0" w:color="000080"/>
            </w:tcBorders>
            <w:shd w:val="clear" w:color="DBE5F1" w:fill="DBE5F1"/>
            <w:noWrap/>
            <w:vAlign w:val="center"/>
            <w:hideMark/>
          </w:tcPr>
          <w:p w14:paraId="54FA5768" w14:textId="77777777" w:rsidR="00A920E6" w:rsidRPr="00A920E6" w:rsidRDefault="00A920E6" w:rsidP="00A920E6">
            <w:pPr>
              <w:rPr>
                <w:rFonts w:ascii="Arial" w:hAnsi="Arial" w:cs="Arial"/>
                <w:b/>
                <w:bCs/>
                <w:color w:val="0C0C0C"/>
                <w:sz w:val="16"/>
                <w:szCs w:val="16"/>
              </w:rPr>
            </w:pPr>
            <w:r w:rsidRPr="00A920E6">
              <w:rPr>
                <w:rFonts w:ascii="Arial" w:hAnsi="Arial" w:cs="Arial"/>
                <w:b/>
                <w:bCs/>
                <w:color w:val="0C0C0C"/>
                <w:sz w:val="16"/>
                <w:szCs w:val="16"/>
              </w:rPr>
              <w:t> </w:t>
            </w:r>
          </w:p>
        </w:tc>
        <w:tc>
          <w:tcPr>
            <w:tcW w:w="1574" w:type="dxa"/>
            <w:tcBorders>
              <w:top w:val="nil"/>
              <w:left w:val="nil"/>
              <w:bottom w:val="single" w:sz="4" w:space="0" w:color="C0C0C0"/>
              <w:right w:val="single" w:sz="4" w:space="0" w:color="000000"/>
            </w:tcBorders>
            <w:shd w:val="clear" w:color="DBE5F1" w:fill="DBE5F1"/>
            <w:noWrap/>
            <w:vAlign w:val="center"/>
            <w:hideMark/>
          </w:tcPr>
          <w:p w14:paraId="22F818EF" w14:textId="77777777" w:rsidR="00A920E6" w:rsidRPr="00A920E6" w:rsidRDefault="00A920E6" w:rsidP="00A920E6">
            <w:pPr>
              <w:rPr>
                <w:rFonts w:ascii="Arial" w:hAnsi="Arial" w:cs="Arial"/>
                <w:b/>
                <w:bCs/>
                <w:color w:val="0C0C0C"/>
                <w:sz w:val="16"/>
                <w:szCs w:val="16"/>
              </w:rPr>
            </w:pPr>
            <w:r w:rsidRPr="00A920E6">
              <w:rPr>
                <w:rFonts w:ascii="Arial" w:hAnsi="Arial" w:cs="Arial"/>
                <w:b/>
                <w:bCs/>
                <w:color w:val="0C0C0C"/>
                <w:sz w:val="16"/>
                <w:szCs w:val="16"/>
              </w:rPr>
              <w:t> </w:t>
            </w:r>
          </w:p>
        </w:tc>
      </w:tr>
      <w:tr w:rsidR="00A920E6" w:rsidRPr="00A920E6" w14:paraId="4975267D"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389647D5"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6</w:t>
            </w:r>
          </w:p>
        </w:tc>
        <w:tc>
          <w:tcPr>
            <w:tcW w:w="5157" w:type="dxa"/>
            <w:tcBorders>
              <w:top w:val="nil"/>
              <w:left w:val="nil"/>
              <w:bottom w:val="single" w:sz="4" w:space="0" w:color="C0C0C0"/>
              <w:right w:val="single" w:sz="4" w:space="0" w:color="000080"/>
            </w:tcBorders>
            <w:shd w:val="clear" w:color="auto" w:fill="auto"/>
            <w:vAlign w:val="center"/>
            <w:hideMark/>
          </w:tcPr>
          <w:p w14:paraId="784E7F6E"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PRIHODI POSLOVANJA (šifre 61+62+63+64+65+66+67+68)</w:t>
            </w:r>
          </w:p>
        </w:tc>
        <w:tc>
          <w:tcPr>
            <w:tcW w:w="2919" w:type="dxa"/>
            <w:tcBorders>
              <w:top w:val="nil"/>
              <w:left w:val="nil"/>
              <w:bottom w:val="single" w:sz="4" w:space="0" w:color="C0C0C0"/>
              <w:right w:val="single" w:sz="4" w:space="0" w:color="000080"/>
            </w:tcBorders>
            <w:shd w:val="clear" w:color="auto" w:fill="auto"/>
            <w:vAlign w:val="center"/>
            <w:hideMark/>
          </w:tcPr>
          <w:p w14:paraId="767BA2FB"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6</w:t>
            </w:r>
          </w:p>
        </w:tc>
        <w:tc>
          <w:tcPr>
            <w:tcW w:w="1462" w:type="dxa"/>
            <w:tcBorders>
              <w:top w:val="nil"/>
              <w:left w:val="nil"/>
              <w:bottom w:val="single" w:sz="4" w:space="0" w:color="C0C0C0"/>
              <w:right w:val="single" w:sz="4" w:space="0" w:color="000080"/>
            </w:tcBorders>
            <w:shd w:val="clear" w:color="auto" w:fill="auto"/>
            <w:noWrap/>
            <w:vAlign w:val="center"/>
            <w:hideMark/>
          </w:tcPr>
          <w:p w14:paraId="0028797D"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1.127.427.288,88</w:t>
            </w:r>
          </w:p>
        </w:tc>
        <w:tc>
          <w:tcPr>
            <w:tcW w:w="1462" w:type="dxa"/>
            <w:tcBorders>
              <w:top w:val="nil"/>
              <w:left w:val="nil"/>
              <w:bottom w:val="single" w:sz="4" w:space="0" w:color="C0C0C0"/>
              <w:right w:val="single" w:sz="4" w:space="0" w:color="000080"/>
            </w:tcBorders>
            <w:shd w:val="clear" w:color="auto" w:fill="auto"/>
            <w:noWrap/>
            <w:vAlign w:val="center"/>
            <w:hideMark/>
          </w:tcPr>
          <w:p w14:paraId="2BC95F18"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1.276.210.976,05</w:t>
            </w:r>
          </w:p>
        </w:tc>
        <w:tc>
          <w:tcPr>
            <w:tcW w:w="1574" w:type="dxa"/>
            <w:tcBorders>
              <w:top w:val="nil"/>
              <w:left w:val="nil"/>
              <w:bottom w:val="single" w:sz="4" w:space="0" w:color="C0C0C0"/>
              <w:right w:val="single" w:sz="4" w:space="0" w:color="000000"/>
            </w:tcBorders>
            <w:shd w:val="clear" w:color="auto" w:fill="auto"/>
            <w:noWrap/>
            <w:vAlign w:val="center"/>
            <w:hideMark/>
          </w:tcPr>
          <w:p w14:paraId="6751D56A"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113,2</w:t>
            </w:r>
          </w:p>
        </w:tc>
      </w:tr>
      <w:tr w:rsidR="00A920E6" w:rsidRPr="00A920E6" w14:paraId="0F3C1D7C"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64A55BCD"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63</w:t>
            </w:r>
          </w:p>
        </w:tc>
        <w:tc>
          <w:tcPr>
            <w:tcW w:w="5157" w:type="dxa"/>
            <w:tcBorders>
              <w:top w:val="nil"/>
              <w:left w:val="nil"/>
              <w:bottom w:val="single" w:sz="4" w:space="0" w:color="C0C0C0"/>
              <w:right w:val="single" w:sz="4" w:space="0" w:color="000080"/>
            </w:tcBorders>
            <w:shd w:val="clear" w:color="auto" w:fill="auto"/>
            <w:vAlign w:val="center"/>
            <w:hideMark/>
          </w:tcPr>
          <w:p w14:paraId="36BFC354" w14:textId="77777777" w:rsidR="00A920E6" w:rsidRPr="00A920E6" w:rsidRDefault="00A920E6" w:rsidP="00A920E6">
            <w:pPr>
              <w:rPr>
                <w:rFonts w:ascii="Arial" w:hAnsi="Arial" w:cs="Arial"/>
                <w:sz w:val="18"/>
                <w:szCs w:val="18"/>
              </w:rPr>
            </w:pPr>
            <w:r w:rsidRPr="00A920E6">
              <w:rPr>
                <w:rFonts w:ascii="Arial" w:hAnsi="Arial" w:cs="Arial"/>
                <w:sz w:val="18"/>
                <w:szCs w:val="18"/>
              </w:rPr>
              <w:t>Pomoći iz inozemstva i od subjekata unutar općeg proračuna (šifre 631+632+633+634+635+636+637+638+639)</w:t>
            </w:r>
          </w:p>
        </w:tc>
        <w:tc>
          <w:tcPr>
            <w:tcW w:w="2919" w:type="dxa"/>
            <w:tcBorders>
              <w:top w:val="nil"/>
              <w:left w:val="nil"/>
              <w:bottom w:val="single" w:sz="4" w:space="0" w:color="C0C0C0"/>
              <w:right w:val="single" w:sz="4" w:space="0" w:color="000080"/>
            </w:tcBorders>
            <w:shd w:val="clear" w:color="auto" w:fill="auto"/>
            <w:vAlign w:val="center"/>
            <w:hideMark/>
          </w:tcPr>
          <w:p w14:paraId="75B55104"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63</w:t>
            </w:r>
          </w:p>
        </w:tc>
        <w:tc>
          <w:tcPr>
            <w:tcW w:w="1462" w:type="dxa"/>
            <w:tcBorders>
              <w:top w:val="nil"/>
              <w:left w:val="nil"/>
              <w:bottom w:val="single" w:sz="4" w:space="0" w:color="C0C0C0"/>
              <w:right w:val="single" w:sz="4" w:space="0" w:color="000080"/>
            </w:tcBorders>
            <w:shd w:val="clear" w:color="auto" w:fill="auto"/>
            <w:noWrap/>
            <w:vAlign w:val="center"/>
            <w:hideMark/>
          </w:tcPr>
          <w:p w14:paraId="47F20F0C"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142.881.359,49</w:t>
            </w:r>
          </w:p>
        </w:tc>
        <w:tc>
          <w:tcPr>
            <w:tcW w:w="1462" w:type="dxa"/>
            <w:tcBorders>
              <w:top w:val="nil"/>
              <w:left w:val="nil"/>
              <w:bottom w:val="single" w:sz="4" w:space="0" w:color="C0C0C0"/>
              <w:right w:val="single" w:sz="4" w:space="0" w:color="000080"/>
            </w:tcBorders>
            <w:shd w:val="clear" w:color="auto" w:fill="auto"/>
            <w:noWrap/>
            <w:vAlign w:val="center"/>
            <w:hideMark/>
          </w:tcPr>
          <w:p w14:paraId="2C381E4C"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1.685.993,96</w:t>
            </w:r>
          </w:p>
        </w:tc>
        <w:tc>
          <w:tcPr>
            <w:tcW w:w="1574" w:type="dxa"/>
            <w:tcBorders>
              <w:top w:val="nil"/>
              <w:left w:val="nil"/>
              <w:bottom w:val="single" w:sz="4" w:space="0" w:color="C0C0C0"/>
              <w:right w:val="single" w:sz="4" w:space="0" w:color="000000"/>
            </w:tcBorders>
            <w:shd w:val="clear" w:color="auto" w:fill="auto"/>
            <w:noWrap/>
            <w:vAlign w:val="center"/>
            <w:hideMark/>
          </w:tcPr>
          <w:p w14:paraId="7FEF0267"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1,2</w:t>
            </w:r>
          </w:p>
        </w:tc>
      </w:tr>
      <w:tr w:rsidR="00A920E6" w:rsidRPr="00A920E6" w14:paraId="0CA96F68"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7AD33178"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632</w:t>
            </w:r>
          </w:p>
        </w:tc>
        <w:tc>
          <w:tcPr>
            <w:tcW w:w="5157" w:type="dxa"/>
            <w:tcBorders>
              <w:top w:val="nil"/>
              <w:left w:val="nil"/>
              <w:bottom w:val="single" w:sz="4" w:space="0" w:color="C0C0C0"/>
              <w:right w:val="single" w:sz="4" w:space="0" w:color="000080"/>
            </w:tcBorders>
            <w:shd w:val="clear" w:color="auto" w:fill="auto"/>
            <w:vAlign w:val="center"/>
            <w:hideMark/>
          </w:tcPr>
          <w:p w14:paraId="131DC02F" w14:textId="77777777" w:rsidR="00A920E6" w:rsidRPr="00A920E6" w:rsidRDefault="00A920E6" w:rsidP="00A920E6">
            <w:pPr>
              <w:rPr>
                <w:rFonts w:ascii="Arial" w:hAnsi="Arial" w:cs="Arial"/>
                <w:sz w:val="18"/>
                <w:szCs w:val="18"/>
              </w:rPr>
            </w:pPr>
            <w:r w:rsidRPr="00A920E6">
              <w:rPr>
                <w:rFonts w:ascii="Arial" w:hAnsi="Arial" w:cs="Arial"/>
                <w:sz w:val="18"/>
                <w:szCs w:val="18"/>
              </w:rPr>
              <w:t>Pomoći od međunarodnih organizacija te institucija i tijela EU (šifre 6321 do 6324)</w:t>
            </w:r>
          </w:p>
        </w:tc>
        <w:tc>
          <w:tcPr>
            <w:tcW w:w="2919" w:type="dxa"/>
            <w:tcBorders>
              <w:top w:val="nil"/>
              <w:left w:val="nil"/>
              <w:bottom w:val="single" w:sz="4" w:space="0" w:color="C0C0C0"/>
              <w:right w:val="single" w:sz="4" w:space="0" w:color="000080"/>
            </w:tcBorders>
            <w:shd w:val="clear" w:color="auto" w:fill="auto"/>
            <w:vAlign w:val="center"/>
            <w:hideMark/>
          </w:tcPr>
          <w:p w14:paraId="77627AA7"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632</w:t>
            </w:r>
          </w:p>
        </w:tc>
        <w:tc>
          <w:tcPr>
            <w:tcW w:w="1462" w:type="dxa"/>
            <w:tcBorders>
              <w:top w:val="nil"/>
              <w:left w:val="nil"/>
              <w:bottom w:val="single" w:sz="4" w:space="0" w:color="C0C0C0"/>
              <w:right w:val="single" w:sz="4" w:space="0" w:color="000080"/>
            </w:tcBorders>
            <w:shd w:val="clear" w:color="auto" w:fill="auto"/>
            <w:noWrap/>
            <w:vAlign w:val="center"/>
            <w:hideMark/>
          </w:tcPr>
          <w:p w14:paraId="18083F9F"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142.143.859,49</w:t>
            </w:r>
          </w:p>
        </w:tc>
        <w:tc>
          <w:tcPr>
            <w:tcW w:w="1462" w:type="dxa"/>
            <w:tcBorders>
              <w:top w:val="nil"/>
              <w:left w:val="nil"/>
              <w:bottom w:val="single" w:sz="4" w:space="0" w:color="C0C0C0"/>
              <w:right w:val="single" w:sz="4" w:space="0" w:color="000080"/>
            </w:tcBorders>
            <w:shd w:val="clear" w:color="auto" w:fill="auto"/>
            <w:noWrap/>
            <w:vAlign w:val="center"/>
            <w:hideMark/>
          </w:tcPr>
          <w:p w14:paraId="0F7D806B"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539.493,96</w:t>
            </w:r>
          </w:p>
        </w:tc>
        <w:tc>
          <w:tcPr>
            <w:tcW w:w="1574" w:type="dxa"/>
            <w:tcBorders>
              <w:top w:val="nil"/>
              <w:left w:val="nil"/>
              <w:bottom w:val="single" w:sz="4" w:space="0" w:color="C0C0C0"/>
              <w:right w:val="single" w:sz="4" w:space="0" w:color="000000"/>
            </w:tcBorders>
            <w:shd w:val="clear" w:color="auto" w:fill="auto"/>
            <w:noWrap/>
            <w:vAlign w:val="center"/>
            <w:hideMark/>
          </w:tcPr>
          <w:p w14:paraId="5CB4518D"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0,4</w:t>
            </w:r>
          </w:p>
        </w:tc>
      </w:tr>
      <w:tr w:rsidR="00A920E6" w:rsidRPr="00A920E6" w14:paraId="55D10B45"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021ADFF4"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6323</w:t>
            </w:r>
          </w:p>
        </w:tc>
        <w:tc>
          <w:tcPr>
            <w:tcW w:w="5157" w:type="dxa"/>
            <w:tcBorders>
              <w:top w:val="nil"/>
              <w:left w:val="nil"/>
              <w:bottom w:val="single" w:sz="4" w:space="0" w:color="C0C0C0"/>
              <w:right w:val="single" w:sz="4" w:space="0" w:color="000080"/>
            </w:tcBorders>
            <w:shd w:val="clear" w:color="auto" w:fill="auto"/>
            <w:vAlign w:val="center"/>
            <w:hideMark/>
          </w:tcPr>
          <w:p w14:paraId="5C0E3881" w14:textId="77777777" w:rsidR="00A920E6" w:rsidRPr="00A920E6" w:rsidRDefault="00A920E6" w:rsidP="00A920E6">
            <w:pPr>
              <w:rPr>
                <w:rFonts w:ascii="Arial" w:hAnsi="Arial" w:cs="Arial"/>
                <w:sz w:val="18"/>
                <w:szCs w:val="18"/>
              </w:rPr>
            </w:pPr>
            <w:r w:rsidRPr="00A920E6">
              <w:rPr>
                <w:rFonts w:ascii="Arial" w:hAnsi="Arial" w:cs="Arial"/>
                <w:sz w:val="18"/>
                <w:szCs w:val="18"/>
              </w:rPr>
              <w:t>Tekuće pomoći od institucija i tijela EU</w:t>
            </w:r>
          </w:p>
        </w:tc>
        <w:tc>
          <w:tcPr>
            <w:tcW w:w="2919" w:type="dxa"/>
            <w:tcBorders>
              <w:top w:val="nil"/>
              <w:left w:val="nil"/>
              <w:bottom w:val="single" w:sz="4" w:space="0" w:color="C0C0C0"/>
              <w:right w:val="single" w:sz="4" w:space="0" w:color="000080"/>
            </w:tcBorders>
            <w:shd w:val="clear" w:color="auto" w:fill="auto"/>
            <w:vAlign w:val="center"/>
            <w:hideMark/>
          </w:tcPr>
          <w:p w14:paraId="289A94CB"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6323</w:t>
            </w:r>
          </w:p>
        </w:tc>
        <w:tc>
          <w:tcPr>
            <w:tcW w:w="1462" w:type="dxa"/>
            <w:tcBorders>
              <w:top w:val="nil"/>
              <w:left w:val="nil"/>
              <w:bottom w:val="single" w:sz="4" w:space="0" w:color="C0C0C0"/>
              <w:right w:val="single" w:sz="4" w:space="0" w:color="000080"/>
            </w:tcBorders>
            <w:shd w:val="clear" w:color="auto" w:fill="auto"/>
            <w:noWrap/>
            <w:vAlign w:val="center"/>
            <w:hideMark/>
          </w:tcPr>
          <w:p w14:paraId="4D4AF7C0"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3.937.248,78</w:t>
            </w:r>
          </w:p>
        </w:tc>
        <w:tc>
          <w:tcPr>
            <w:tcW w:w="1462" w:type="dxa"/>
            <w:tcBorders>
              <w:top w:val="nil"/>
              <w:left w:val="nil"/>
              <w:bottom w:val="single" w:sz="4" w:space="0" w:color="C0C0C0"/>
              <w:right w:val="single" w:sz="4" w:space="0" w:color="000080"/>
            </w:tcBorders>
            <w:shd w:val="clear" w:color="auto" w:fill="auto"/>
            <w:noWrap/>
            <w:vAlign w:val="center"/>
            <w:hideMark/>
          </w:tcPr>
          <w:p w14:paraId="500F6FF1"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539.493,96</w:t>
            </w:r>
          </w:p>
        </w:tc>
        <w:tc>
          <w:tcPr>
            <w:tcW w:w="1574" w:type="dxa"/>
            <w:tcBorders>
              <w:top w:val="nil"/>
              <w:left w:val="nil"/>
              <w:bottom w:val="single" w:sz="4" w:space="0" w:color="C0C0C0"/>
              <w:right w:val="single" w:sz="4" w:space="0" w:color="000000"/>
            </w:tcBorders>
            <w:shd w:val="clear" w:color="auto" w:fill="auto"/>
            <w:noWrap/>
            <w:vAlign w:val="center"/>
            <w:hideMark/>
          </w:tcPr>
          <w:p w14:paraId="7B465FAB"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13,7</w:t>
            </w:r>
          </w:p>
        </w:tc>
      </w:tr>
      <w:tr w:rsidR="00A920E6" w:rsidRPr="00A920E6" w14:paraId="3A005C35"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4FAA427D"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6324</w:t>
            </w:r>
          </w:p>
        </w:tc>
        <w:tc>
          <w:tcPr>
            <w:tcW w:w="5157" w:type="dxa"/>
            <w:tcBorders>
              <w:top w:val="nil"/>
              <w:left w:val="nil"/>
              <w:bottom w:val="single" w:sz="4" w:space="0" w:color="C0C0C0"/>
              <w:right w:val="single" w:sz="4" w:space="0" w:color="000080"/>
            </w:tcBorders>
            <w:shd w:val="clear" w:color="auto" w:fill="auto"/>
            <w:vAlign w:val="center"/>
            <w:hideMark/>
          </w:tcPr>
          <w:p w14:paraId="51C588E1" w14:textId="77777777" w:rsidR="00A920E6" w:rsidRPr="00A920E6" w:rsidRDefault="00A920E6" w:rsidP="00A920E6">
            <w:pPr>
              <w:rPr>
                <w:rFonts w:ascii="Arial" w:hAnsi="Arial" w:cs="Arial"/>
                <w:sz w:val="18"/>
                <w:szCs w:val="18"/>
              </w:rPr>
            </w:pPr>
            <w:r w:rsidRPr="00A920E6">
              <w:rPr>
                <w:rFonts w:ascii="Arial" w:hAnsi="Arial" w:cs="Arial"/>
                <w:sz w:val="18"/>
                <w:szCs w:val="18"/>
              </w:rPr>
              <w:t>Kapitalne pomoći od institucija i tijela EU</w:t>
            </w:r>
          </w:p>
        </w:tc>
        <w:tc>
          <w:tcPr>
            <w:tcW w:w="2919" w:type="dxa"/>
            <w:tcBorders>
              <w:top w:val="nil"/>
              <w:left w:val="nil"/>
              <w:bottom w:val="single" w:sz="4" w:space="0" w:color="C0C0C0"/>
              <w:right w:val="single" w:sz="4" w:space="0" w:color="000080"/>
            </w:tcBorders>
            <w:shd w:val="clear" w:color="auto" w:fill="auto"/>
            <w:vAlign w:val="center"/>
            <w:hideMark/>
          </w:tcPr>
          <w:p w14:paraId="222106EB"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6324</w:t>
            </w:r>
          </w:p>
        </w:tc>
        <w:tc>
          <w:tcPr>
            <w:tcW w:w="1462" w:type="dxa"/>
            <w:tcBorders>
              <w:top w:val="nil"/>
              <w:left w:val="nil"/>
              <w:bottom w:val="single" w:sz="4" w:space="0" w:color="C0C0C0"/>
              <w:right w:val="single" w:sz="4" w:space="0" w:color="000080"/>
            </w:tcBorders>
            <w:shd w:val="clear" w:color="auto" w:fill="auto"/>
            <w:noWrap/>
            <w:vAlign w:val="center"/>
            <w:hideMark/>
          </w:tcPr>
          <w:p w14:paraId="68131D6A"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138.206.610,71</w:t>
            </w:r>
          </w:p>
        </w:tc>
        <w:tc>
          <w:tcPr>
            <w:tcW w:w="1462" w:type="dxa"/>
            <w:tcBorders>
              <w:top w:val="nil"/>
              <w:left w:val="nil"/>
              <w:bottom w:val="single" w:sz="4" w:space="0" w:color="C0C0C0"/>
              <w:right w:val="single" w:sz="4" w:space="0" w:color="000080"/>
            </w:tcBorders>
            <w:shd w:val="clear" w:color="auto" w:fill="auto"/>
            <w:noWrap/>
            <w:vAlign w:val="center"/>
            <w:hideMark/>
          </w:tcPr>
          <w:p w14:paraId="405C669E"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 </w:t>
            </w:r>
          </w:p>
        </w:tc>
        <w:tc>
          <w:tcPr>
            <w:tcW w:w="1574" w:type="dxa"/>
            <w:tcBorders>
              <w:top w:val="nil"/>
              <w:left w:val="nil"/>
              <w:bottom w:val="single" w:sz="4" w:space="0" w:color="C0C0C0"/>
              <w:right w:val="single" w:sz="4" w:space="0" w:color="000000"/>
            </w:tcBorders>
            <w:shd w:val="clear" w:color="auto" w:fill="auto"/>
            <w:noWrap/>
            <w:vAlign w:val="center"/>
            <w:hideMark/>
          </w:tcPr>
          <w:p w14:paraId="33D97F96"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0,0</w:t>
            </w:r>
          </w:p>
        </w:tc>
      </w:tr>
      <w:tr w:rsidR="00A920E6" w:rsidRPr="00A920E6" w14:paraId="47C6422E"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44952C8C"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639</w:t>
            </w:r>
          </w:p>
        </w:tc>
        <w:tc>
          <w:tcPr>
            <w:tcW w:w="5157" w:type="dxa"/>
            <w:tcBorders>
              <w:top w:val="nil"/>
              <w:left w:val="nil"/>
              <w:bottom w:val="single" w:sz="4" w:space="0" w:color="C0C0C0"/>
              <w:right w:val="single" w:sz="4" w:space="0" w:color="000080"/>
            </w:tcBorders>
            <w:shd w:val="clear" w:color="auto" w:fill="auto"/>
            <w:vAlign w:val="center"/>
            <w:hideMark/>
          </w:tcPr>
          <w:p w14:paraId="29DAC11D" w14:textId="77777777" w:rsidR="00A920E6" w:rsidRPr="00A920E6" w:rsidRDefault="00A920E6" w:rsidP="00A920E6">
            <w:pPr>
              <w:rPr>
                <w:rFonts w:ascii="Arial" w:hAnsi="Arial" w:cs="Arial"/>
                <w:sz w:val="18"/>
                <w:szCs w:val="18"/>
              </w:rPr>
            </w:pPr>
            <w:r w:rsidRPr="00A920E6">
              <w:rPr>
                <w:rFonts w:ascii="Arial" w:hAnsi="Arial" w:cs="Arial"/>
                <w:sz w:val="18"/>
                <w:szCs w:val="18"/>
              </w:rPr>
              <w:t>Prijenosi između proračunskih korisnika istog proračuna (šifre 6391 do 6394)</w:t>
            </w:r>
          </w:p>
        </w:tc>
        <w:tc>
          <w:tcPr>
            <w:tcW w:w="2919" w:type="dxa"/>
            <w:tcBorders>
              <w:top w:val="nil"/>
              <w:left w:val="nil"/>
              <w:bottom w:val="single" w:sz="4" w:space="0" w:color="C0C0C0"/>
              <w:right w:val="single" w:sz="4" w:space="0" w:color="000080"/>
            </w:tcBorders>
            <w:shd w:val="clear" w:color="auto" w:fill="auto"/>
            <w:vAlign w:val="center"/>
            <w:hideMark/>
          </w:tcPr>
          <w:p w14:paraId="482F4F99"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639</w:t>
            </w:r>
          </w:p>
        </w:tc>
        <w:tc>
          <w:tcPr>
            <w:tcW w:w="1462" w:type="dxa"/>
            <w:tcBorders>
              <w:top w:val="nil"/>
              <w:left w:val="nil"/>
              <w:bottom w:val="single" w:sz="4" w:space="0" w:color="C0C0C0"/>
              <w:right w:val="single" w:sz="4" w:space="0" w:color="000080"/>
            </w:tcBorders>
            <w:shd w:val="clear" w:color="auto" w:fill="auto"/>
            <w:noWrap/>
            <w:vAlign w:val="center"/>
            <w:hideMark/>
          </w:tcPr>
          <w:p w14:paraId="5A0D8728"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737.500,00</w:t>
            </w:r>
          </w:p>
        </w:tc>
        <w:tc>
          <w:tcPr>
            <w:tcW w:w="1462" w:type="dxa"/>
            <w:tcBorders>
              <w:top w:val="nil"/>
              <w:left w:val="nil"/>
              <w:bottom w:val="single" w:sz="4" w:space="0" w:color="C0C0C0"/>
              <w:right w:val="single" w:sz="4" w:space="0" w:color="000080"/>
            </w:tcBorders>
            <w:shd w:val="clear" w:color="auto" w:fill="auto"/>
            <w:noWrap/>
            <w:vAlign w:val="center"/>
            <w:hideMark/>
          </w:tcPr>
          <w:p w14:paraId="5406FCEB"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1.146.500,00</w:t>
            </w:r>
          </w:p>
        </w:tc>
        <w:tc>
          <w:tcPr>
            <w:tcW w:w="1574" w:type="dxa"/>
            <w:tcBorders>
              <w:top w:val="nil"/>
              <w:left w:val="nil"/>
              <w:bottom w:val="single" w:sz="4" w:space="0" w:color="C0C0C0"/>
              <w:right w:val="single" w:sz="4" w:space="0" w:color="000000"/>
            </w:tcBorders>
            <w:shd w:val="clear" w:color="auto" w:fill="auto"/>
            <w:noWrap/>
            <w:vAlign w:val="center"/>
            <w:hideMark/>
          </w:tcPr>
          <w:p w14:paraId="2B21B916"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155,5</w:t>
            </w:r>
          </w:p>
        </w:tc>
      </w:tr>
      <w:tr w:rsidR="00A920E6" w:rsidRPr="00A920E6" w14:paraId="0398202E"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1BE5B99A"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6391</w:t>
            </w:r>
          </w:p>
        </w:tc>
        <w:tc>
          <w:tcPr>
            <w:tcW w:w="5157" w:type="dxa"/>
            <w:tcBorders>
              <w:top w:val="nil"/>
              <w:left w:val="nil"/>
              <w:bottom w:val="single" w:sz="4" w:space="0" w:color="C0C0C0"/>
              <w:right w:val="single" w:sz="4" w:space="0" w:color="000080"/>
            </w:tcBorders>
            <w:shd w:val="clear" w:color="auto" w:fill="auto"/>
            <w:vAlign w:val="center"/>
            <w:hideMark/>
          </w:tcPr>
          <w:p w14:paraId="570E0915"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Tekući prijenosi između proračunskih korisnika istog proračuna</w:t>
            </w:r>
          </w:p>
        </w:tc>
        <w:tc>
          <w:tcPr>
            <w:tcW w:w="2919" w:type="dxa"/>
            <w:tcBorders>
              <w:top w:val="nil"/>
              <w:left w:val="nil"/>
              <w:bottom w:val="single" w:sz="4" w:space="0" w:color="C0C0C0"/>
              <w:right w:val="single" w:sz="4" w:space="0" w:color="000080"/>
            </w:tcBorders>
            <w:shd w:val="clear" w:color="auto" w:fill="auto"/>
            <w:vAlign w:val="center"/>
            <w:hideMark/>
          </w:tcPr>
          <w:p w14:paraId="507F570D"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6391</w:t>
            </w:r>
          </w:p>
        </w:tc>
        <w:tc>
          <w:tcPr>
            <w:tcW w:w="1462" w:type="dxa"/>
            <w:tcBorders>
              <w:top w:val="nil"/>
              <w:left w:val="nil"/>
              <w:bottom w:val="single" w:sz="4" w:space="0" w:color="C0C0C0"/>
              <w:right w:val="single" w:sz="4" w:space="0" w:color="000080"/>
            </w:tcBorders>
            <w:shd w:val="clear" w:color="auto" w:fill="auto"/>
            <w:noWrap/>
            <w:vAlign w:val="center"/>
            <w:hideMark/>
          </w:tcPr>
          <w:p w14:paraId="403B6131"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400.000,00</w:t>
            </w:r>
          </w:p>
        </w:tc>
        <w:tc>
          <w:tcPr>
            <w:tcW w:w="1462" w:type="dxa"/>
            <w:tcBorders>
              <w:top w:val="nil"/>
              <w:left w:val="nil"/>
              <w:bottom w:val="single" w:sz="4" w:space="0" w:color="C0C0C0"/>
              <w:right w:val="single" w:sz="4" w:space="0" w:color="000080"/>
            </w:tcBorders>
            <w:shd w:val="clear" w:color="auto" w:fill="auto"/>
            <w:noWrap/>
            <w:vAlign w:val="center"/>
            <w:hideMark/>
          </w:tcPr>
          <w:p w14:paraId="410C7BFA"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586.000,00</w:t>
            </w:r>
          </w:p>
        </w:tc>
        <w:tc>
          <w:tcPr>
            <w:tcW w:w="1574" w:type="dxa"/>
            <w:tcBorders>
              <w:top w:val="nil"/>
              <w:left w:val="nil"/>
              <w:bottom w:val="single" w:sz="4" w:space="0" w:color="C0C0C0"/>
              <w:right w:val="single" w:sz="4" w:space="0" w:color="000000"/>
            </w:tcBorders>
            <w:shd w:val="clear" w:color="auto" w:fill="auto"/>
            <w:noWrap/>
            <w:vAlign w:val="center"/>
            <w:hideMark/>
          </w:tcPr>
          <w:p w14:paraId="16FD043C"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146,5</w:t>
            </w:r>
          </w:p>
        </w:tc>
      </w:tr>
      <w:tr w:rsidR="00A920E6" w:rsidRPr="00A920E6" w14:paraId="0862BEC0"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7E1748E4"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6392</w:t>
            </w:r>
          </w:p>
        </w:tc>
        <w:tc>
          <w:tcPr>
            <w:tcW w:w="5157" w:type="dxa"/>
            <w:tcBorders>
              <w:top w:val="nil"/>
              <w:left w:val="nil"/>
              <w:bottom w:val="single" w:sz="4" w:space="0" w:color="C0C0C0"/>
              <w:right w:val="single" w:sz="4" w:space="0" w:color="000080"/>
            </w:tcBorders>
            <w:shd w:val="clear" w:color="auto" w:fill="auto"/>
            <w:vAlign w:val="center"/>
            <w:hideMark/>
          </w:tcPr>
          <w:p w14:paraId="5E545E45"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Kapitalni prijenosi između proračunskih korisnika istog proračuna</w:t>
            </w:r>
          </w:p>
        </w:tc>
        <w:tc>
          <w:tcPr>
            <w:tcW w:w="2919" w:type="dxa"/>
            <w:tcBorders>
              <w:top w:val="nil"/>
              <w:left w:val="nil"/>
              <w:bottom w:val="single" w:sz="4" w:space="0" w:color="C0C0C0"/>
              <w:right w:val="single" w:sz="4" w:space="0" w:color="000080"/>
            </w:tcBorders>
            <w:shd w:val="clear" w:color="auto" w:fill="auto"/>
            <w:vAlign w:val="center"/>
            <w:hideMark/>
          </w:tcPr>
          <w:p w14:paraId="65B15841"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6392</w:t>
            </w:r>
          </w:p>
        </w:tc>
        <w:tc>
          <w:tcPr>
            <w:tcW w:w="1462" w:type="dxa"/>
            <w:tcBorders>
              <w:top w:val="nil"/>
              <w:left w:val="nil"/>
              <w:bottom w:val="single" w:sz="4" w:space="0" w:color="C0C0C0"/>
              <w:right w:val="single" w:sz="4" w:space="0" w:color="000080"/>
            </w:tcBorders>
            <w:shd w:val="clear" w:color="auto" w:fill="auto"/>
            <w:noWrap/>
            <w:vAlign w:val="center"/>
            <w:hideMark/>
          </w:tcPr>
          <w:p w14:paraId="5F9391A0"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337.500,00</w:t>
            </w:r>
          </w:p>
        </w:tc>
        <w:tc>
          <w:tcPr>
            <w:tcW w:w="1462" w:type="dxa"/>
            <w:tcBorders>
              <w:top w:val="nil"/>
              <w:left w:val="nil"/>
              <w:bottom w:val="single" w:sz="4" w:space="0" w:color="C0C0C0"/>
              <w:right w:val="single" w:sz="4" w:space="0" w:color="000080"/>
            </w:tcBorders>
            <w:shd w:val="clear" w:color="auto" w:fill="auto"/>
            <w:noWrap/>
            <w:vAlign w:val="center"/>
            <w:hideMark/>
          </w:tcPr>
          <w:p w14:paraId="3B468310"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560.500,00</w:t>
            </w:r>
          </w:p>
        </w:tc>
        <w:tc>
          <w:tcPr>
            <w:tcW w:w="1574" w:type="dxa"/>
            <w:tcBorders>
              <w:top w:val="nil"/>
              <w:left w:val="nil"/>
              <w:bottom w:val="single" w:sz="4" w:space="0" w:color="C0C0C0"/>
              <w:right w:val="single" w:sz="4" w:space="0" w:color="000000"/>
            </w:tcBorders>
            <w:shd w:val="clear" w:color="auto" w:fill="auto"/>
            <w:noWrap/>
            <w:vAlign w:val="center"/>
            <w:hideMark/>
          </w:tcPr>
          <w:p w14:paraId="1B1ED1C9"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166,1</w:t>
            </w:r>
          </w:p>
        </w:tc>
      </w:tr>
      <w:tr w:rsidR="00A920E6" w:rsidRPr="00A920E6" w14:paraId="65B0DE09"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6581D0ED"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64</w:t>
            </w:r>
          </w:p>
        </w:tc>
        <w:tc>
          <w:tcPr>
            <w:tcW w:w="5157" w:type="dxa"/>
            <w:tcBorders>
              <w:top w:val="nil"/>
              <w:left w:val="nil"/>
              <w:bottom w:val="single" w:sz="4" w:space="0" w:color="C0C0C0"/>
              <w:right w:val="single" w:sz="4" w:space="0" w:color="000080"/>
            </w:tcBorders>
            <w:shd w:val="clear" w:color="auto" w:fill="auto"/>
            <w:vAlign w:val="center"/>
            <w:hideMark/>
          </w:tcPr>
          <w:p w14:paraId="40390E28"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Prihodi od imovine (šifre 641+642+643)</w:t>
            </w:r>
          </w:p>
        </w:tc>
        <w:tc>
          <w:tcPr>
            <w:tcW w:w="2919" w:type="dxa"/>
            <w:tcBorders>
              <w:top w:val="nil"/>
              <w:left w:val="nil"/>
              <w:bottom w:val="single" w:sz="4" w:space="0" w:color="C0C0C0"/>
              <w:right w:val="single" w:sz="4" w:space="0" w:color="000080"/>
            </w:tcBorders>
            <w:shd w:val="clear" w:color="auto" w:fill="auto"/>
            <w:vAlign w:val="center"/>
            <w:hideMark/>
          </w:tcPr>
          <w:p w14:paraId="67E0EA3F"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64</w:t>
            </w:r>
          </w:p>
        </w:tc>
        <w:tc>
          <w:tcPr>
            <w:tcW w:w="1462" w:type="dxa"/>
            <w:tcBorders>
              <w:top w:val="nil"/>
              <w:left w:val="nil"/>
              <w:bottom w:val="single" w:sz="4" w:space="0" w:color="C0C0C0"/>
              <w:right w:val="single" w:sz="4" w:space="0" w:color="000080"/>
            </w:tcBorders>
            <w:shd w:val="clear" w:color="auto" w:fill="auto"/>
            <w:noWrap/>
            <w:vAlign w:val="center"/>
            <w:hideMark/>
          </w:tcPr>
          <w:p w14:paraId="3A876B4C"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0,01</w:t>
            </w:r>
          </w:p>
        </w:tc>
        <w:tc>
          <w:tcPr>
            <w:tcW w:w="1462" w:type="dxa"/>
            <w:tcBorders>
              <w:top w:val="nil"/>
              <w:left w:val="nil"/>
              <w:bottom w:val="single" w:sz="4" w:space="0" w:color="C0C0C0"/>
              <w:right w:val="single" w:sz="4" w:space="0" w:color="000080"/>
            </w:tcBorders>
            <w:shd w:val="clear" w:color="auto" w:fill="auto"/>
            <w:noWrap/>
            <w:vAlign w:val="center"/>
            <w:hideMark/>
          </w:tcPr>
          <w:p w14:paraId="782C1879"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4EB3E04E"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0,0</w:t>
            </w:r>
          </w:p>
        </w:tc>
      </w:tr>
      <w:tr w:rsidR="00A920E6" w:rsidRPr="00A920E6" w14:paraId="154BD88F"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4D42E6F8"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641</w:t>
            </w:r>
          </w:p>
        </w:tc>
        <w:tc>
          <w:tcPr>
            <w:tcW w:w="5157" w:type="dxa"/>
            <w:tcBorders>
              <w:top w:val="nil"/>
              <w:left w:val="nil"/>
              <w:bottom w:val="single" w:sz="4" w:space="0" w:color="C0C0C0"/>
              <w:right w:val="single" w:sz="4" w:space="0" w:color="000080"/>
            </w:tcBorders>
            <w:shd w:val="clear" w:color="auto" w:fill="auto"/>
            <w:vAlign w:val="center"/>
            <w:hideMark/>
          </w:tcPr>
          <w:p w14:paraId="1AA3A0EC"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 xml:space="preserve">Prihodi od financijske imovine (šifre 6412 do 6419) </w:t>
            </w:r>
          </w:p>
        </w:tc>
        <w:tc>
          <w:tcPr>
            <w:tcW w:w="2919" w:type="dxa"/>
            <w:tcBorders>
              <w:top w:val="nil"/>
              <w:left w:val="nil"/>
              <w:bottom w:val="single" w:sz="4" w:space="0" w:color="C0C0C0"/>
              <w:right w:val="single" w:sz="4" w:space="0" w:color="000080"/>
            </w:tcBorders>
            <w:shd w:val="clear" w:color="auto" w:fill="auto"/>
            <w:vAlign w:val="center"/>
            <w:hideMark/>
          </w:tcPr>
          <w:p w14:paraId="126135A2"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641</w:t>
            </w:r>
          </w:p>
        </w:tc>
        <w:tc>
          <w:tcPr>
            <w:tcW w:w="1462" w:type="dxa"/>
            <w:tcBorders>
              <w:top w:val="nil"/>
              <w:left w:val="nil"/>
              <w:bottom w:val="single" w:sz="4" w:space="0" w:color="C0C0C0"/>
              <w:right w:val="single" w:sz="4" w:space="0" w:color="000080"/>
            </w:tcBorders>
            <w:shd w:val="clear" w:color="auto" w:fill="auto"/>
            <w:noWrap/>
            <w:vAlign w:val="center"/>
            <w:hideMark/>
          </w:tcPr>
          <w:p w14:paraId="36534EA9"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0,01</w:t>
            </w:r>
          </w:p>
        </w:tc>
        <w:tc>
          <w:tcPr>
            <w:tcW w:w="1462" w:type="dxa"/>
            <w:tcBorders>
              <w:top w:val="nil"/>
              <w:left w:val="nil"/>
              <w:bottom w:val="single" w:sz="4" w:space="0" w:color="C0C0C0"/>
              <w:right w:val="single" w:sz="4" w:space="0" w:color="000080"/>
            </w:tcBorders>
            <w:shd w:val="clear" w:color="auto" w:fill="auto"/>
            <w:noWrap/>
            <w:vAlign w:val="center"/>
            <w:hideMark/>
          </w:tcPr>
          <w:p w14:paraId="34FD75D3"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7A9DDD9D"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0,0</w:t>
            </w:r>
          </w:p>
        </w:tc>
      </w:tr>
      <w:tr w:rsidR="00A920E6" w:rsidRPr="00A920E6" w14:paraId="3984B0B3"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022D864B"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6415</w:t>
            </w:r>
          </w:p>
        </w:tc>
        <w:tc>
          <w:tcPr>
            <w:tcW w:w="5157" w:type="dxa"/>
            <w:tcBorders>
              <w:top w:val="nil"/>
              <w:left w:val="nil"/>
              <w:bottom w:val="single" w:sz="4" w:space="0" w:color="C0C0C0"/>
              <w:right w:val="single" w:sz="4" w:space="0" w:color="000080"/>
            </w:tcBorders>
            <w:shd w:val="clear" w:color="auto" w:fill="auto"/>
            <w:vAlign w:val="center"/>
            <w:hideMark/>
          </w:tcPr>
          <w:p w14:paraId="278599C7"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Prihodi od pozitivnih tečajnih razlika i razlika zbog primjene valutne klauzule</w:t>
            </w:r>
          </w:p>
        </w:tc>
        <w:tc>
          <w:tcPr>
            <w:tcW w:w="2919" w:type="dxa"/>
            <w:tcBorders>
              <w:top w:val="nil"/>
              <w:left w:val="nil"/>
              <w:bottom w:val="single" w:sz="4" w:space="0" w:color="C0C0C0"/>
              <w:right w:val="single" w:sz="4" w:space="0" w:color="000080"/>
            </w:tcBorders>
            <w:shd w:val="clear" w:color="auto" w:fill="auto"/>
            <w:vAlign w:val="center"/>
            <w:hideMark/>
          </w:tcPr>
          <w:p w14:paraId="4B69396B"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6415</w:t>
            </w:r>
          </w:p>
        </w:tc>
        <w:tc>
          <w:tcPr>
            <w:tcW w:w="1462" w:type="dxa"/>
            <w:tcBorders>
              <w:top w:val="nil"/>
              <w:left w:val="nil"/>
              <w:bottom w:val="single" w:sz="4" w:space="0" w:color="C0C0C0"/>
              <w:right w:val="single" w:sz="4" w:space="0" w:color="000080"/>
            </w:tcBorders>
            <w:shd w:val="clear" w:color="auto" w:fill="auto"/>
            <w:noWrap/>
            <w:vAlign w:val="center"/>
            <w:hideMark/>
          </w:tcPr>
          <w:p w14:paraId="1ECC8B59"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0,01</w:t>
            </w:r>
          </w:p>
        </w:tc>
        <w:tc>
          <w:tcPr>
            <w:tcW w:w="1462" w:type="dxa"/>
            <w:tcBorders>
              <w:top w:val="nil"/>
              <w:left w:val="nil"/>
              <w:bottom w:val="single" w:sz="4" w:space="0" w:color="C0C0C0"/>
              <w:right w:val="single" w:sz="4" w:space="0" w:color="000080"/>
            </w:tcBorders>
            <w:shd w:val="clear" w:color="auto" w:fill="auto"/>
            <w:noWrap/>
            <w:vAlign w:val="center"/>
            <w:hideMark/>
          </w:tcPr>
          <w:p w14:paraId="280AA821"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 </w:t>
            </w:r>
          </w:p>
        </w:tc>
        <w:tc>
          <w:tcPr>
            <w:tcW w:w="1574" w:type="dxa"/>
            <w:tcBorders>
              <w:top w:val="nil"/>
              <w:left w:val="nil"/>
              <w:bottom w:val="single" w:sz="4" w:space="0" w:color="C0C0C0"/>
              <w:right w:val="single" w:sz="4" w:space="0" w:color="000000"/>
            </w:tcBorders>
            <w:shd w:val="clear" w:color="auto" w:fill="auto"/>
            <w:noWrap/>
            <w:vAlign w:val="center"/>
            <w:hideMark/>
          </w:tcPr>
          <w:p w14:paraId="3BE0C8D0"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0,0</w:t>
            </w:r>
          </w:p>
        </w:tc>
      </w:tr>
      <w:tr w:rsidR="00A920E6" w:rsidRPr="00A920E6" w14:paraId="436B6706"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306E6C08"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65</w:t>
            </w:r>
          </w:p>
        </w:tc>
        <w:tc>
          <w:tcPr>
            <w:tcW w:w="5157" w:type="dxa"/>
            <w:tcBorders>
              <w:top w:val="nil"/>
              <w:left w:val="nil"/>
              <w:bottom w:val="single" w:sz="4" w:space="0" w:color="C0C0C0"/>
              <w:right w:val="single" w:sz="4" w:space="0" w:color="000080"/>
            </w:tcBorders>
            <w:shd w:val="clear" w:color="auto" w:fill="auto"/>
            <w:vAlign w:val="center"/>
            <w:hideMark/>
          </w:tcPr>
          <w:p w14:paraId="1733357E"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Prihodi od upravnih i administrativnih pristojbi, pristojbi po posebnim propisima i naknada (šifre 651+652+653</w:t>
            </w:r>
            <w:r w:rsidRPr="00A920E6">
              <w:rPr>
                <w:rFonts w:ascii="Arial" w:hAnsi="Arial" w:cs="Arial"/>
                <w:color w:val="00B050"/>
                <w:sz w:val="18"/>
                <w:szCs w:val="18"/>
              </w:rPr>
              <w:t>+654</w:t>
            </w:r>
            <w:r w:rsidRPr="00A920E6">
              <w:rPr>
                <w:rFonts w:ascii="Arial" w:hAnsi="Arial" w:cs="Arial"/>
                <w:color w:val="000000"/>
                <w:sz w:val="18"/>
                <w:szCs w:val="18"/>
              </w:rPr>
              <w:t>)</w:t>
            </w:r>
          </w:p>
        </w:tc>
        <w:tc>
          <w:tcPr>
            <w:tcW w:w="2919" w:type="dxa"/>
            <w:tcBorders>
              <w:top w:val="nil"/>
              <w:left w:val="nil"/>
              <w:bottom w:val="single" w:sz="4" w:space="0" w:color="C0C0C0"/>
              <w:right w:val="single" w:sz="4" w:space="0" w:color="000080"/>
            </w:tcBorders>
            <w:shd w:val="clear" w:color="auto" w:fill="auto"/>
            <w:vAlign w:val="center"/>
            <w:hideMark/>
          </w:tcPr>
          <w:p w14:paraId="2297DA4C"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65</w:t>
            </w:r>
          </w:p>
        </w:tc>
        <w:tc>
          <w:tcPr>
            <w:tcW w:w="1462" w:type="dxa"/>
            <w:tcBorders>
              <w:top w:val="nil"/>
              <w:left w:val="nil"/>
              <w:bottom w:val="single" w:sz="4" w:space="0" w:color="C0C0C0"/>
              <w:right w:val="single" w:sz="4" w:space="0" w:color="000080"/>
            </w:tcBorders>
            <w:shd w:val="clear" w:color="auto" w:fill="auto"/>
            <w:noWrap/>
            <w:vAlign w:val="center"/>
            <w:hideMark/>
          </w:tcPr>
          <w:p w14:paraId="369E5FF0"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5.263.921,64</w:t>
            </w:r>
          </w:p>
        </w:tc>
        <w:tc>
          <w:tcPr>
            <w:tcW w:w="1462" w:type="dxa"/>
            <w:tcBorders>
              <w:top w:val="nil"/>
              <w:left w:val="nil"/>
              <w:bottom w:val="single" w:sz="4" w:space="0" w:color="C0C0C0"/>
              <w:right w:val="single" w:sz="4" w:space="0" w:color="000080"/>
            </w:tcBorders>
            <w:shd w:val="clear" w:color="auto" w:fill="auto"/>
            <w:noWrap/>
            <w:vAlign w:val="center"/>
            <w:hideMark/>
          </w:tcPr>
          <w:p w14:paraId="74D35B37"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4.904.041,94</w:t>
            </w:r>
          </w:p>
        </w:tc>
        <w:tc>
          <w:tcPr>
            <w:tcW w:w="1574" w:type="dxa"/>
            <w:tcBorders>
              <w:top w:val="nil"/>
              <w:left w:val="nil"/>
              <w:bottom w:val="single" w:sz="4" w:space="0" w:color="C0C0C0"/>
              <w:right w:val="single" w:sz="4" w:space="0" w:color="000000"/>
            </w:tcBorders>
            <w:shd w:val="clear" w:color="auto" w:fill="auto"/>
            <w:noWrap/>
            <w:vAlign w:val="center"/>
            <w:hideMark/>
          </w:tcPr>
          <w:p w14:paraId="6B5F55CC"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93,2</w:t>
            </w:r>
          </w:p>
        </w:tc>
      </w:tr>
      <w:tr w:rsidR="00A920E6" w:rsidRPr="00A920E6" w14:paraId="7BD40953"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314ED354"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652</w:t>
            </w:r>
          </w:p>
        </w:tc>
        <w:tc>
          <w:tcPr>
            <w:tcW w:w="5157" w:type="dxa"/>
            <w:tcBorders>
              <w:top w:val="nil"/>
              <w:left w:val="nil"/>
              <w:bottom w:val="single" w:sz="4" w:space="0" w:color="C0C0C0"/>
              <w:right w:val="single" w:sz="4" w:space="0" w:color="000080"/>
            </w:tcBorders>
            <w:shd w:val="clear" w:color="auto" w:fill="auto"/>
            <w:vAlign w:val="center"/>
            <w:hideMark/>
          </w:tcPr>
          <w:p w14:paraId="380DF8DC"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Prihodi po posebnim propisima (šifre 6521 do 6528)</w:t>
            </w:r>
          </w:p>
        </w:tc>
        <w:tc>
          <w:tcPr>
            <w:tcW w:w="2919" w:type="dxa"/>
            <w:tcBorders>
              <w:top w:val="nil"/>
              <w:left w:val="nil"/>
              <w:bottom w:val="single" w:sz="4" w:space="0" w:color="C0C0C0"/>
              <w:right w:val="single" w:sz="4" w:space="0" w:color="000080"/>
            </w:tcBorders>
            <w:shd w:val="clear" w:color="auto" w:fill="auto"/>
            <w:vAlign w:val="center"/>
            <w:hideMark/>
          </w:tcPr>
          <w:p w14:paraId="0B10E45F"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652</w:t>
            </w:r>
          </w:p>
        </w:tc>
        <w:tc>
          <w:tcPr>
            <w:tcW w:w="1462" w:type="dxa"/>
            <w:tcBorders>
              <w:top w:val="nil"/>
              <w:left w:val="nil"/>
              <w:bottom w:val="single" w:sz="4" w:space="0" w:color="C0C0C0"/>
              <w:right w:val="single" w:sz="4" w:space="0" w:color="000080"/>
            </w:tcBorders>
            <w:shd w:val="clear" w:color="auto" w:fill="auto"/>
            <w:noWrap/>
            <w:vAlign w:val="center"/>
            <w:hideMark/>
          </w:tcPr>
          <w:p w14:paraId="2215B8D3"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5.263.921,64</w:t>
            </w:r>
          </w:p>
        </w:tc>
        <w:tc>
          <w:tcPr>
            <w:tcW w:w="1462" w:type="dxa"/>
            <w:tcBorders>
              <w:top w:val="nil"/>
              <w:left w:val="nil"/>
              <w:bottom w:val="single" w:sz="4" w:space="0" w:color="C0C0C0"/>
              <w:right w:val="single" w:sz="4" w:space="0" w:color="000080"/>
            </w:tcBorders>
            <w:shd w:val="clear" w:color="auto" w:fill="auto"/>
            <w:noWrap/>
            <w:vAlign w:val="center"/>
            <w:hideMark/>
          </w:tcPr>
          <w:p w14:paraId="366045DA"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4.904.041,94</w:t>
            </w:r>
          </w:p>
        </w:tc>
        <w:tc>
          <w:tcPr>
            <w:tcW w:w="1574" w:type="dxa"/>
            <w:tcBorders>
              <w:top w:val="nil"/>
              <w:left w:val="nil"/>
              <w:bottom w:val="single" w:sz="4" w:space="0" w:color="C0C0C0"/>
              <w:right w:val="single" w:sz="4" w:space="0" w:color="000000"/>
            </w:tcBorders>
            <w:shd w:val="clear" w:color="auto" w:fill="auto"/>
            <w:noWrap/>
            <w:vAlign w:val="center"/>
            <w:hideMark/>
          </w:tcPr>
          <w:p w14:paraId="266495D0"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93,2</w:t>
            </w:r>
          </w:p>
        </w:tc>
      </w:tr>
      <w:tr w:rsidR="00A920E6" w:rsidRPr="00A920E6" w14:paraId="6801F664"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1076C146"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6521</w:t>
            </w:r>
          </w:p>
        </w:tc>
        <w:tc>
          <w:tcPr>
            <w:tcW w:w="5157" w:type="dxa"/>
            <w:tcBorders>
              <w:top w:val="nil"/>
              <w:left w:val="nil"/>
              <w:bottom w:val="single" w:sz="4" w:space="0" w:color="C0C0C0"/>
              <w:right w:val="single" w:sz="4" w:space="0" w:color="000080"/>
            </w:tcBorders>
            <w:shd w:val="clear" w:color="auto" w:fill="auto"/>
            <w:vAlign w:val="center"/>
            <w:hideMark/>
          </w:tcPr>
          <w:p w14:paraId="36E14151"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Prihodi državne uprave</w:t>
            </w:r>
          </w:p>
        </w:tc>
        <w:tc>
          <w:tcPr>
            <w:tcW w:w="2919" w:type="dxa"/>
            <w:tcBorders>
              <w:top w:val="nil"/>
              <w:left w:val="nil"/>
              <w:bottom w:val="single" w:sz="4" w:space="0" w:color="C0C0C0"/>
              <w:right w:val="single" w:sz="4" w:space="0" w:color="000080"/>
            </w:tcBorders>
            <w:shd w:val="clear" w:color="auto" w:fill="auto"/>
            <w:vAlign w:val="center"/>
            <w:hideMark/>
          </w:tcPr>
          <w:p w14:paraId="7A93A4AD"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6521</w:t>
            </w:r>
          </w:p>
        </w:tc>
        <w:tc>
          <w:tcPr>
            <w:tcW w:w="1462" w:type="dxa"/>
            <w:tcBorders>
              <w:top w:val="nil"/>
              <w:left w:val="nil"/>
              <w:bottom w:val="single" w:sz="4" w:space="0" w:color="C0C0C0"/>
              <w:right w:val="single" w:sz="4" w:space="0" w:color="000080"/>
            </w:tcBorders>
            <w:shd w:val="clear" w:color="auto" w:fill="auto"/>
            <w:noWrap/>
            <w:vAlign w:val="center"/>
            <w:hideMark/>
          </w:tcPr>
          <w:p w14:paraId="0D218267"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3.174.353,80</w:t>
            </w:r>
          </w:p>
        </w:tc>
        <w:tc>
          <w:tcPr>
            <w:tcW w:w="1462" w:type="dxa"/>
            <w:tcBorders>
              <w:top w:val="nil"/>
              <w:left w:val="nil"/>
              <w:bottom w:val="single" w:sz="4" w:space="0" w:color="C0C0C0"/>
              <w:right w:val="single" w:sz="4" w:space="0" w:color="000080"/>
            </w:tcBorders>
            <w:shd w:val="clear" w:color="auto" w:fill="auto"/>
            <w:noWrap/>
            <w:vAlign w:val="center"/>
            <w:hideMark/>
          </w:tcPr>
          <w:p w14:paraId="59945F24"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2.840.118,28</w:t>
            </w:r>
          </w:p>
        </w:tc>
        <w:tc>
          <w:tcPr>
            <w:tcW w:w="1574" w:type="dxa"/>
            <w:tcBorders>
              <w:top w:val="nil"/>
              <w:left w:val="nil"/>
              <w:bottom w:val="single" w:sz="4" w:space="0" w:color="C0C0C0"/>
              <w:right w:val="single" w:sz="4" w:space="0" w:color="000000"/>
            </w:tcBorders>
            <w:shd w:val="clear" w:color="auto" w:fill="auto"/>
            <w:noWrap/>
            <w:vAlign w:val="center"/>
            <w:hideMark/>
          </w:tcPr>
          <w:p w14:paraId="2C12CAFC"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89,5</w:t>
            </w:r>
          </w:p>
        </w:tc>
      </w:tr>
      <w:tr w:rsidR="00A920E6" w:rsidRPr="00A920E6" w14:paraId="28DE3DD9"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799B15EF"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6526</w:t>
            </w:r>
          </w:p>
        </w:tc>
        <w:tc>
          <w:tcPr>
            <w:tcW w:w="5157" w:type="dxa"/>
            <w:tcBorders>
              <w:top w:val="nil"/>
              <w:left w:val="nil"/>
              <w:bottom w:val="single" w:sz="4" w:space="0" w:color="C0C0C0"/>
              <w:right w:val="single" w:sz="4" w:space="0" w:color="000080"/>
            </w:tcBorders>
            <w:shd w:val="clear" w:color="auto" w:fill="auto"/>
            <w:vAlign w:val="center"/>
            <w:hideMark/>
          </w:tcPr>
          <w:p w14:paraId="4DA57120"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Ostali nespomenuti prihodi</w:t>
            </w:r>
          </w:p>
        </w:tc>
        <w:tc>
          <w:tcPr>
            <w:tcW w:w="2919" w:type="dxa"/>
            <w:tcBorders>
              <w:top w:val="nil"/>
              <w:left w:val="nil"/>
              <w:bottom w:val="single" w:sz="4" w:space="0" w:color="C0C0C0"/>
              <w:right w:val="single" w:sz="4" w:space="0" w:color="000080"/>
            </w:tcBorders>
            <w:shd w:val="clear" w:color="auto" w:fill="auto"/>
            <w:vAlign w:val="center"/>
            <w:hideMark/>
          </w:tcPr>
          <w:p w14:paraId="5EF1C9D7"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6526</w:t>
            </w:r>
          </w:p>
        </w:tc>
        <w:tc>
          <w:tcPr>
            <w:tcW w:w="1462" w:type="dxa"/>
            <w:tcBorders>
              <w:top w:val="nil"/>
              <w:left w:val="nil"/>
              <w:bottom w:val="single" w:sz="4" w:space="0" w:color="C0C0C0"/>
              <w:right w:val="single" w:sz="4" w:space="0" w:color="000080"/>
            </w:tcBorders>
            <w:shd w:val="clear" w:color="auto" w:fill="auto"/>
            <w:noWrap/>
            <w:vAlign w:val="center"/>
            <w:hideMark/>
          </w:tcPr>
          <w:p w14:paraId="7CD9288D"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2.089.567,84</w:t>
            </w:r>
          </w:p>
        </w:tc>
        <w:tc>
          <w:tcPr>
            <w:tcW w:w="1462" w:type="dxa"/>
            <w:tcBorders>
              <w:top w:val="nil"/>
              <w:left w:val="nil"/>
              <w:bottom w:val="single" w:sz="4" w:space="0" w:color="C0C0C0"/>
              <w:right w:val="single" w:sz="4" w:space="0" w:color="000080"/>
            </w:tcBorders>
            <w:shd w:val="clear" w:color="auto" w:fill="auto"/>
            <w:noWrap/>
            <w:vAlign w:val="center"/>
            <w:hideMark/>
          </w:tcPr>
          <w:p w14:paraId="31F59532"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2.063.923,66</w:t>
            </w:r>
          </w:p>
        </w:tc>
        <w:tc>
          <w:tcPr>
            <w:tcW w:w="1574" w:type="dxa"/>
            <w:tcBorders>
              <w:top w:val="nil"/>
              <w:left w:val="nil"/>
              <w:bottom w:val="single" w:sz="4" w:space="0" w:color="C0C0C0"/>
              <w:right w:val="single" w:sz="4" w:space="0" w:color="000000"/>
            </w:tcBorders>
            <w:shd w:val="clear" w:color="auto" w:fill="auto"/>
            <w:noWrap/>
            <w:vAlign w:val="center"/>
            <w:hideMark/>
          </w:tcPr>
          <w:p w14:paraId="35696F43"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98,8</w:t>
            </w:r>
          </w:p>
        </w:tc>
      </w:tr>
      <w:tr w:rsidR="00A920E6" w:rsidRPr="00A920E6" w14:paraId="765296FC"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7E510F61"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66</w:t>
            </w:r>
          </w:p>
        </w:tc>
        <w:tc>
          <w:tcPr>
            <w:tcW w:w="5157" w:type="dxa"/>
            <w:tcBorders>
              <w:top w:val="nil"/>
              <w:left w:val="nil"/>
              <w:bottom w:val="single" w:sz="4" w:space="0" w:color="C0C0C0"/>
              <w:right w:val="single" w:sz="4" w:space="0" w:color="000080"/>
            </w:tcBorders>
            <w:shd w:val="clear" w:color="auto" w:fill="auto"/>
            <w:vAlign w:val="center"/>
            <w:hideMark/>
          </w:tcPr>
          <w:p w14:paraId="06C7FDF1" w14:textId="77777777" w:rsidR="00A920E6" w:rsidRPr="00A920E6" w:rsidRDefault="00A920E6" w:rsidP="00A920E6">
            <w:pPr>
              <w:rPr>
                <w:rFonts w:ascii="Arial" w:hAnsi="Arial" w:cs="Arial"/>
                <w:sz w:val="18"/>
                <w:szCs w:val="18"/>
              </w:rPr>
            </w:pPr>
            <w:r w:rsidRPr="00A920E6">
              <w:rPr>
                <w:rFonts w:ascii="Arial" w:hAnsi="Arial" w:cs="Arial"/>
                <w:sz w:val="18"/>
                <w:szCs w:val="18"/>
              </w:rPr>
              <w:t>Prihodi od prodaje proizvoda i robe te pruženih usluga, prihodi od donacija te povrati po protestiranim jamstvima (šifre 661+663)</w:t>
            </w:r>
          </w:p>
        </w:tc>
        <w:tc>
          <w:tcPr>
            <w:tcW w:w="2919" w:type="dxa"/>
            <w:tcBorders>
              <w:top w:val="nil"/>
              <w:left w:val="nil"/>
              <w:bottom w:val="single" w:sz="4" w:space="0" w:color="C0C0C0"/>
              <w:right w:val="single" w:sz="4" w:space="0" w:color="000080"/>
            </w:tcBorders>
            <w:shd w:val="clear" w:color="auto" w:fill="auto"/>
            <w:vAlign w:val="center"/>
            <w:hideMark/>
          </w:tcPr>
          <w:p w14:paraId="4165CA36"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66</w:t>
            </w:r>
          </w:p>
        </w:tc>
        <w:tc>
          <w:tcPr>
            <w:tcW w:w="1462" w:type="dxa"/>
            <w:tcBorders>
              <w:top w:val="nil"/>
              <w:left w:val="nil"/>
              <w:bottom w:val="single" w:sz="4" w:space="0" w:color="C0C0C0"/>
              <w:right w:val="single" w:sz="4" w:space="0" w:color="000080"/>
            </w:tcBorders>
            <w:shd w:val="clear" w:color="auto" w:fill="auto"/>
            <w:noWrap/>
            <w:vAlign w:val="center"/>
            <w:hideMark/>
          </w:tcPr>
          <w:p w14:paraId="790B5447"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26.415,24</w:t>
            </w:r>
          </w:p>
        </w:tc>
        <w:tc>
          <w:tcPr>
            <w:tcW w:w="1462" w:type="dxa"/>
            <w:tcBorders>
              <w:top w:val="nil"/>
              <w:left w:val="nil"/>
              <w:bottom w:val="single" w:sz="4" w:space="0" w:color="C0C0C0"/>
              <w:right w:val="single" w:sz="4" w:space="0" w:color="000080"/>
            </w:tcBorders>
            <w:shd w:val="clear" w:color="auto" w:fill="auto"/>
            <w:noWrap/>
            <w:vAlign w:val="center"/>
            <w:hideMark/>
          </w:tcPr>
          <w:p w14:paraId="42AD1FC1"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19.008,67</w:t>
            </w:r>
          </w:p>
        </w:tc>
        <w:tc>
          <w:tcPr>
            <w:tcW w:w="1574" w:type="dxa"/>
            <w:tcBorders>
              <w:top w:val="nil"/>
              <w:left w:val="nil"/>
              <w:bottom w:val="single" w:sz="4" w:space="0" w:color="C0C0C0"/>
              <w:right w:val="single" w:sz="4" w:space="0" w:color="000000"/>
            </w:tcBorders>
            <w:shd w:val="clear" w:color="auto" w:fill="auto"/>
            <w:noWrap/>
            <w:vAlign w:val="center"/>
            <w:hideMark/>
          </w:tcPr>
          <w:p w14:paraId="06A8019D"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72,0</w:t>
            </w:r>
          </w:p>
        </w:tc>
      </w:tr>
      <w:tr w:rsidR="00A920E6" w:rsidRPr="00A920E6" w14:paraId="02F0909A"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59772F2A"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lastRenderedPageBreak/>
              <w:t>661</w:t>
            </w:r>
          </w:p>
        </w:tc>
        <w:tc>
          <w:tcPr>
            <w:tcW w:w="5157" w:type="dxa"/>
            <w:tcBorders>
              <w:top w:val="nil"/>
              <w:left w:val="nil"/>
              <w:bottom w:val="single" w:sz="4" w:space="0" w:color="C0C0C0"/>
              <w:right w:val="single" w:sz="4" w:space="0" w:color="000080"/>
            </w:tcBorders>
            <w:shd w:val="clear" w:color="auto" w:fill="auto"/>
            <w:vAlign w:val="center"/>
            <w:hideMark/>
          </w:tcPr>
          <w:p w14:paraId="4C595492" w14:textId="77777777" w:rsidR="00A920E6" w:rsidRPr="00A920E6" w:rsidRDefault="00A920E6" w:rsidP="00A920E6">
            <w:pPr>
              <w:rPr>
                <w:rFonts w:ascii="Arial" w:hAnsi="Arial" w:cs="Arial"/>
                <w:sz w:val="18"/>
                <w:szCs w:val="18"/>
              </w:rPr>
            </w:pPr>
            <w:r w:rsidRPr="00A920E6">
              <w:rPr>
                <w:rFonts w:ascii="Arial" w:hAnsi="Arial" w:cs="Arial"/>
                <w:sz w:val="18"/>
                <w:szCs w:val="18"/>
              </w:rPr>
              <w:t>Prihodi od prodaje proizvoda i robe te pruženih usluga (šifre 6614+6615)</w:t>
            </w:r>
          </w:p>
        </w:tc>
        <w:tc>
          <w:tcPr>
            <w:tcW w:w="2919" w:type="dxa"/>
            <w:tcBorders>
              <w:top w:val="nil"/>
              <w:left w:val="nil"/>
              <w:bottom w:val="single" w:sz="4" w:space="0" w:color="C0C0C0"/>
              <w:right w:val="single" w:sz="4" w:space="0" w:color="000080"/>
            </w:tcBorders>
            <w:shd w:val="clear" w:color="auto" w:fill="auto"/>
            <w:vAlign w:val="center"/>
            <w:hideMark/>
          </w:tcPr>
          <w:p w14:paraId="1A0E379D"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661</w:t>
            </w:r>
          </w:p>
        </w:tc>
        <w:tc>
          <w:tcPr>
            <w:tcW w:w="1462" w:type="dxa"/>
            <w:tcBorders>
              <w:top w:val="nil"/>
              <w:left w:val="nil"/>
              <w:bottom w:val="single" w:sz="4" w:space="0" w:color="C0C0C0"/>
              <w:right w:val="single" w:sz="4" w:space="0" w:color="000080"/>
            </w:tcBorders>
            <w:shd w:val="clear" w:color="auto" w:fill="auto"/>
            <w:noWrap/>
            <w:vAlign w:val="center"/>
            <w:hideMark/>
          </w:tcPr>
          <w:p w14:paraId="2E783BF5"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26.415,24</w:t>
            </w:r>
          </w:p>
        </w:tc>
        <w:tc>
          <w:tcPr>
            <w:tcW w:w="1462" w:type="dxa"/>
            <w:tcBorders>
              <w:top w:val="nil"/>
              <w:left w:val="nil"/>
              <w:bottom w:val="single" w:sz="4" w:space="0" w:color="C0C0C0"/>
              <w:right w:val="single" w:sz="4" w:space="0" w:color="000080"/>
            </w:tcBorders>
            <w:shd w:val="clear" w:color="auto" w:fill="auto"/>
            <w:noWrap/>
            <w:vAlign w:val="center"/>
            <w:hideMark/>
          </w:tcPr>
          <w:p w14:paraId="55A0E923"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19.008,67</w:t>
            </w:r>
          </w:p>
        </w:tc>
        <w:tc>
          <w:tcPr>
            <w:tcW w:w="1574" w:type="dxa"/>
            <w:tcBorders>
              <w:top w:val="nil"/>
              <w:left w:val="nil"/>
              <w:bottom w:val="single" w:sz="4" w:space="0" w:color="C0C0C0"/>
              <w:right w:val="single" w:sz="4" w:space="0" w:color="000000"/>
            </w:tcBorders>
            <w:shd w:val="clear" w:color="auto" w:fill="auto"/>
            <w:noWrap/>
            <w:vAlign w:val="center"/>
            <w:hideMark/>
          </w:tcPr>
          <w:p w14:paraId="191CDA54"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72,0</w:t>
            </w:r>
          </w:p>
        </w:tc>
      </w:tr>
      <w:tr w:rsidR="00A920E6" w:rsidRPr="00A920E6" w14:paraId="13E686F4"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0EEE760E"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6615</w:t>
            </w:r>
          </w:p>
        </w:tc>
        <w:tc>
          <w:tcPr>
            <w:tcW w:w="5157" w:type="dxa"/>
            <w:tcBorders>
              <w:top w:val="nil"/>
              <w:left w:val="nil"/>
              <w:bottom w:val="single" w:sz="4" w:space="0" w:color="C0C0C0"/>
              <w:right w:val="single" w:sz="4" w:space="0" w:color="000080"/>
            </w:tcBorders>
            <w:shd w:val="clear" w:color="auto" w:fill="auto"/>
            <w:vAlign w:val="center"/>
            <w:hideMark/>
          </w:tcPr>
          <w:p w14:paraId="6D339D5F" w14:textId="77777777" w:rsidR="00A920E6" w:rsidRPr="00A920E6" w:rsidRDefault="00A920E6" w:rsidP="00A920E6">
            <w:pPr>
              <w:rPr>
                <w:rFonts w:ascii="Arial" w:hAnsi="Arial" w:cs="Arial"/>
                <w:sz w:val="18"/>
                <w:szCs w:val="18"/>
              </w:rPr>
            </w:pPr>
            <w:r w:rsidRPr="00A920E6">
              <w:rPr>
                <w:rFonts w:ascii="Arial" w:hAnsi="Arial" w:cs="Arial"/>
                <w:sz w:val="18"/>
                <w:szCs w:val="18"/>
              </w:rPr>
              <w:t>Prihodi od pruženih usluga</w:t>
            </w:r>
          </w:p>
        </w:tc>
        <w:tc>
          <w:tcPr>
            <w:tcW w:w="2919" w:type="dxa"/>
            <w:tcBorders>
              <w:top w:val="nil"/>
              <w:left w:val="nil"/>
              <w:bottom w:val="single" w:sz="4" w:space="0" w:color="C0C0C0"/>
              <w:right w:val="single" w:sz="4" w:space="0" w:color="000080"/>
            </w:tcBorders>
            <w:shd w:val="clear" w:color="auto" w:fill="auto"/>
            <w:vAlign w:val="center"/>
            <w:hideMark/>
          </w:tcPr>
          <w:p w14:paraId="70293EBE"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6615</w:t>
            </w:r>
          </w:p>
        </w:tc>
        <w:tc>
          <w:tcPr>
            <w:tcW w:w="1462" w:type="dxa"/>
            <w:tcBorders>
              <w:top w:val="nil"/>
              <w:left w:val="nil"/>
              <w:bottom w:val="single" w:sz="4" w:space="0" w:color="C0C0C0"/>
              <w:right w:val="single" w:sz="4" w:space="0" w:color="000080"/>
            </w:tcBorders>
            <w:shd w:val="clear" w:color="auto" w:fill="auto"/>
            <w:noWrap/>
            <w:vAlign w:val="center"/>
            <w:hideMark/>
          </w:tcPr>
          <w:p w14:paraId="7958FB54"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26.415,24</w:t>
            </w:r>
          </w:p>
        </w:tc>
        <w:tc>
          <w:tcPr>
            <w:tcW w:w="1462" w:type="dxa"/>
            <w:tcBorders>
              <w:top w:val="nil"/>
              <w:left w:val="nil"/>
              <w:bottom w:val="single" w:sz="4" w:space="0" w:color="C0C0C0"/>
              <w:right w:val="single" w:sz="4" w:space="0" w:color="000080"/>
            </w:tcBorders>
            <w:shd w:val="clear" w:color="auto" w:fill="auto"/>
            <w:noWrap/>
            <w:vAlign w:val="center"/>
            <w:hideMark/>
          </w:tcPr>
          <w:p w14:paraId="65AEAC8A"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19.008,67</w:t>
            </w:r>
          </w:p>
        </w:tc>
        <w:tc>
          <w:tcPr>
            <w:tcW w:w="1574" w:type="dxa"/>
            <w:tcBorders>
              <w:top w:val="nil"/>
              <w:left w:val="nil"/>
              <w:bottom w:val="single" w:sz="4" w:space="0" w:color="C0C0C0"/>
              <w:right w:val="single" w:sz="4" w:space="0" w:color="000000"/>
            </w:tcBorders>
            <w:shd w:val="clear" w:color="auto" w:fill="auto"/>
            <w:noWrap/>
            <w:vAlign w:val="center"/>
            <w:hideMark/>
          </w:tcPr>
          <w:p w14:paraId="791E210A"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72,0</w:t>
            </w:r>
          </w:p>
        </w:tc>
      </w:tr>
      <w:tr w:rsidR="00A920E6" w:rsidRPr="00A920E6" w14:paraId="65AAB008"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6D0FA3CB"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67</w:t>
            </w:r>
          </w:p>
        </w:tc>
        <w:tc>
          <w:tcPr>
            <w:tcW w:w="5157" w:type="dxa"/>
            <w:tcBorders>
              <w:top w:val="nil"/>
              <w:left w:val="nil"/>
              <w:bottom w:val="single" w:sz="4" w:space="0" w:color="C0C0C0"/>
              <w:right w:val="single" w:sz="4" w:space="0" w:color="000080"/>
            </w:tcBorders>
            <w:shd w:val="clear" w:color="auto" w:fill="auto"/>
            <w:vAlign w:val="center"/>
            <w:hideMark/>
          </w:tcPr>
          <w:p w14:paraId="0C0B9C49" w14:textId="77777777" w:rsidR="00A920E6" w:rsidRPr="00A920E6" w:rsidRDefault="00A920E6" w:rsidP="00A920E6">
            <w:pPr>
              <w:rPr>
                <w:rFonts w:ascii="Arial" w:hAnsi="Arial" w:cs="Arial"/>
                <w:sz w:val="18"/>
                <w:szCs w:val="18"/>
              </w:rPr>
            </w:pPr>
            <w:r w:rsidRPr="00A920E6">
              <w:rPr>
                <w:rFonts w:ascii="Arial" w:hAnsi="Arial" w:cs="Arial"/>
                <w:sz w:val="18"/>
                <w:szCs w:val="18"/>
              </w:rPr>
              <w:t>Prihodi iz nadležnog proračuna i od HZZO-a na temelju ugovornih obveza (šifre 671+673)</w:t>
            </w:r>
          </w:p>
        </w:tc>
        <w:tc>
          <w:tcPr>
            <w:tcW w:w="2919" w:type="dxa"/>
            <w:tcBorders>
              <w:top w:val="nil"/>
              <w:left w:val="nil"/>
              <w:bottom w:val="single" w:sz="4" w:space="0" w:color="C0C0C0"/>
              <w:right w:val="single" w:sz="4" w:space="0" w:color="000080"/>
            </w:tcBorders>
            <w:shd w:val="clear" w:color="auto" w:fill="auto"/>
            <w:vAlign w:val="center"/>
            <w:hideMark/>
          </w:tcPr>
          <w:p w14:paraId="3477419C"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67</w:t>
            </w:r>
          </w:p>
        </w:tc>
        <w:tc>
          <w:tcPr>
            <w:tcW w:w="1462" w:type="dxa"/>
            <w:tcBorders>
              <w:top w:val="nil"/>
              <w:left w:val="nil"/>
              <w:bottom w:val="single" w:sz="4" w:space="0" w:color="C0C0C0"/>
              <w:right w:val="single" w:sz="4" w:space="0" w:color="000080"/>
            </w:tcBorders>
            <w:shd w:val="clear" w:color="auto" w:fill="auto"/>
            <w:noWrap/>
            <w:vAlign w:val="center"/>
            <w:hideMark/>
          </w:tcPr>
          <w:p w14:paraId="5E1CD423"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979.255.592,50</w:t>
            </w:r>
          </w:p>
        </w:tc>
        <w:tc>
          <w:tcPr>
            <w:tcW w:w="1462" w:type="dxa"/>
            <w:tcBorders>
              <w:top w:val="nil"/>
              <w:left w:val="nil"/>
              <w:bottom w:val="single" w:sz="4" w:space="0" w:color="C0C0C0"/>
              <w:right w:val="single" w:sz="4" w:space="0" w:color="000080"/>
            </w:tcBorders>
            <w:shd w:val="clear" w:color="auto" w:fill="auto"/>
            <w:noWrap/>
            <w:vAlign w:val="center"/>
            <w:hideMark/>
          </w:tcPr>
          <w:p w14:paraId="13033416"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1.269.601.931,48</w:t>
            </w:r>
          </w:p>
        </w:tc>
        <w:tc>
          <w:tcPr>
            <w:tcW w:w="1574" w:type="dxa"/>
            <w:tcBorders>
              <w:top w:val="nil"/>
              <w:left w:val="nil"/>
              <w:bottom w:val="single" w:sz="4" w:space="0" w:color="C0C0C0"/>
              <w:right w:val="single" w:sz="4" w:space="0" w:color="000000"/>
            </w:tcBorders>
            <w:shd w:val="clear" w:color="auto" w:fill="auto"/>
            <w:noWrap/>
            <w:vAlign w:val="center"/>
            <w:hideMark/>
          </w:tcPr>
          <w:p w14:paraId="7CF1DCA5"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129,6</w:t>
            </w:r>
          </w:p>
        </w:tc>
      </w:tr>
      <w:tr w:rsidR="00A920E6" w:rsidRPr="00A920E6" w14:paraId="08DF2399"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60301A1E"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671</w:t>
            </w:r>
          </w:p>
        </w:tc>
        <w:tc>
          <w:tcPr>
            <w:tcW w:w="5157" w:type="dxa"/>
            <w:tcBorders>
              <w:top w:val="nil"/>
              <w:left w:val="nil"/>
              <w:bottom w:val="single" w:sz="4" w:space="0" w:color="C0C0C0"/>
              <w:right w:val="single" w:sz="4" w:space="0" w:color="000080"/>
            </w:tcBorders>
            <w:shd w:val="clear" w:color="auto" w:fill="auto"/>
            <w:vAlign w:val="center"/>
            <w:hideMark/>
          </w:tcPr>
          <w:p w14:paraId="3066CA5D" w14:textId="77777777" w:rsidR="00A920E6" w:rsidRPr="00A920E6" w:rsidRDefault="00A920E6" w:rsidP="00A920E6">
            <w:pPr>
              <w:rPr>
                <w:rFonts w:ascii="Arial" w:hAnsi="Arial" w:cs="Arial"/>
                <w:sz w:val="18"/>
                <w:szCs w:val="18"/>
              </w:rPr>
            </w:pPr>
            <w:r w:rsidRPr="00A920E6">
              <w:rPr>
                <w:rFonts w:ascii="Arial" w:hAnsi="Arial" w:cs="Arial"/>
                <w:sz w:val="18"/>
                <w:szCs w:val="18"/>
              </w:rPr>
              <w:t>Prihodi iz nadležnog proračuna za financiranje redovne djelatnosti proračunskih korisnika (šifre 6711 do 6714)</w:t>
            </w:r>
          </w:p>
        </w:tc>
        <w:tc>
          <w:tcPr>
            <w:tcW w:w="2919" w:type="dxa"/>
            <w:tcBorders>
              <w:top w:val="nil"/>
              <w:left w:val="nil"/>
              <w:bottom w:val="single" w:sz="4" w:space="0" w:color="C0C0C0"/>
              <w:right w:val="single" w:sz="4" w:space="0" w:color="000080"/>
            </w:tcBorders>
            <w:shd w:val="clear" w:color="auto" w:fill="auto"/>
            <w:vAlign w:val="center"/>
            <w:hideMark/>
          </w:tcPr>
          <w:p w14:paraId="726E26FA"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671</w:t>
            </w:r>
          </w:p>
        </w:tc>
        <w:tc>
          <w:tcPr>
            <w:tcW w:w="1462" w:type="dxa"/>
            <w:tcBorders>
              <w:top w:val="nil"/>
              <w:left w:val="nil"/>
              <w:bottom w:val="single" w:sz="4" w:space="0" w:color="C0C0C0"/>
              <w:right w:val="single" w:sz="4" w:space="0" w:color="000080"/>
            </w:tcBorders>
            <w:shd w:val="clear" w:color="auto" w:fill="auto"/>
            <w:noWrap/>
            <w:vAlign w:val="center"/>
            <w:hideMark/>
          </w:tcPr>
          <w:p w14:paraId="06DA32D2"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979.255.592,50</w:t>
            </w:r>
          </w:p>
        </w:tc>
        <w:tc>
          <w:tcPr>
            <w:tcW w:w="1462" w:type="dxa"/>
            <w:tcBorders>
              <w:top w:val="nil"/>
              <w:left w:val="nil"/>
              <w:bottom w:val="single" w:sz="4" w:space="0" w:color="C0C0C0"/>
              <w:right w:val="single" w:sz="4" w:space="0" w:color="000080"/>
            </w:tcBorders>
            <w:shd w:val="clear" w:color="auto" w:fill="auto"/>
            <w:noWrap/>
            <w:vAlign w:val="center"/>
            <w:hideMark/>
          </w:tcPr>
          <w:p w14:paraId="7BDC4846"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1.269.601.931,48</w:t>
            </w:r>
          </w:p>
        </w:tc>
        <w:tc>
          <w:tcPr>
            <w:tcW w:w="1574" w:type="dxa"/>
            <w:tcBorders>
              <w:top w:val="nil"/>
              <w:left w:val="nil"/>
              <w:bottom w:val="single" w:sz="4" w:space="0" w:color="C0C0C0"/>
              <w:right w:val="single" w:sz="4" w:space="0" w:color="000000"/>
            </w:tcBorders>
            <w:shd w:val="clear" w:color="auto" w:fill="auto"/>
            <w:noWrap/>
            <w:vAlign w:val="center"/>
            <w:hideMark/>
          </w:tcPr>
          <w:p w14:paraId="4CCDA927"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129,6</w:t>
            </w:r>
          </w:p>
        </w:tc>
      </w:tr>
      <w:tr w:rsidR="00A920E6" w:rsidRPr="00A920E6" w14:paraId="0841012D"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736563AB"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6711</w:t>
            </w:r>
          </w:p>
        </w:tc>
        <w:tc>
          <w:tcPr>
            <w:tcW w:w="5157" w:type="dxa"/>
            <w:tcBorders>
              <w:top w:val="nil"/>
              <w:left w:val="nil"/>
              <w:bottom w:val="single" w:sz="4" w:space="0" w:color="C0C0C0"/>
              <w:right w:val="single" w:sz="4" w:space="0" w:color="000080"/>
            </w:tcBorders>
            <w:shd w:val="clear" w:color="auto" w:fill="auto"/>
            <w:vAlign w:val="center"/>
            <w:hideMark/>
          </w:tcPr>
          <w:p w14:paraId="13AD9514" w14:textId="77777777" w:rsidR="00A920E6" w:rsidRPr="00A920E6" w:rsidRDefault="00A920E6" w:rsidP="00A920E6">
            <w:pPr>
              <w:rPr>
                <w:rFonts w:ascii="Arial" w:hAnsi="Arial" w:cs="Arial"/>
                <w:sz w:val="18"/>
                <w:szCs w:val="18"/>
              </w:rPr>
            </w:pPr>
            <w:r w:rsidRPr="00A920E6">
              <w:rPr>
                <w:rFonts w:ascii="Arial" w:hAnsi="Arial" w:cs="Arial"/>
                <w:sz w:val="18"/>
                <w:szCs w:val="18"/>
              </w:rPr>
              <w:t>Prihodi iz nadležnog proračuna za financiranje rashoda poslovanja</w:t>
            </w:r>
          </w:p>
        </w:tc>
        <w:tc>
          <w:tcPr>
            <w:tcW w:w="2919" w:type="dxa"/>
            <w:tcBorders>
              <w:top w:val="nil"/>
              <w:left w:val="nil"/>
              <w:bottom w:val="single" w:sz="4" w:space="0" w:color="C0C0C0"/>
              <w:right w:val="single" w:sz="4" w:space="0" w:color="000080"/>
            </w:tcBorders>
            <w:shd w:val="clear" w:color="auto" w:fill="auto"/>
            <w:vAlign w:val="center"/>
            <w:hideMark/>
          </w:tcPr>
          <w:p w14:paraId="053CE0C8"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6711</w:t>
            </w:r>
          </w:p>
        </w:tc>
        <w:tc>
          <w:tcPr>
            <w:tcW w:w="1462" w:type="dxa"/>
            <w:tcBorders>
              <w:top w:val="nil"/>
              <w:left w:val="nil"/>
              <w:bottom w:val="single" w:sz="4" w:space="0" w:color="C0C0C0"/>
              <w:right w:val="single" w:sz="4" w:space="0" w:color="000080"/>
            </w:tcBorders>
            <w:shd w:val="clear" w:color="auto" w:fill="auto"/>
            <w:noWrap/>
            <w:vAlign w:val="center"/>
            <w:hideMark/>
          </w:tcPr>
          <w:p w14:paraId="0B881B32"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969.499.221,47</w:t>
            </w:r>
          </w:p>
        </w:tc>
        <w:tc>
          <w:tcPr>
            <w:tcW w:w="1462" w:type="dxa"/>
            <w:tcBorders>
              <w:top w:val="nil"/>
              <w:left w:val="nil"/>
              <w:bottom w:val="single" w:sz="4" w:space="0" w:color="C0C0C0"/>
              <w:right w:val="single" w:sz="4" w:space="0" w:color="000080"/>
            </w:tcBorders>
            <w:shd w:val="clear" w:color="auto" w:fill="auto"/>
            <w:noWrap/>
            <w:vAlign w:val="center"/>
            <w:hideMark/>
          </w:tcPr>
          <w:p w14:paraId="7F880C06"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1.229.307.664,71</w:t>
            </w:r>
          </w:p>
        </w:tc>
        <w:tc>
          <w:tcPr>
            <w:tcW w:w="1574" w:type="dxa"/>
            <w:tcBorders>
              <w:top w:val="nil"/>
              <w:left w:val="nil"/>
              <w:bottom w:val="single" w:sz="4" w:space="0" w:color="C0C0C0"/>
              <w:right w:val="single" w:sz="4" w:space="0" w:color="000000"/>
            </w:tcBorders>
            <w:shd w:val="clear" w:color="auto" w:fill="auto"/>
            <w:noWrap/>
            <w:vAlign w:val="center"/>
            <w:hideMark/>
          </w:tcPr>
          <w:p w14:paraId="21425198"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126,8</w:t>
            </w:r>
          </w:p>
        </w:tc>
      </w:tr>
      <w:tr w:rsidR="00A920E6" w:rsidRPr="00A920E6" w14:paraId="1A94C6DE"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40D6BD5E"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6712</w:t>
            </w:r>
          </w:p>
        </w:tc>
        <w:tc>
          <w:tcPr>
            <w:tcW w:w="5157" w:type="dxa"/>
            <w:tcBorders>
              <w:top w:val="nil"/>
              <w:left w:val="nil"/>
              <w:bottom w:val="single" w:sz="4" w:space="0" w:color="C0C0C0"/>
              <w:right w:val="single" w:sz="4" w:space="0" w:color="000080"/>
            </w:tcBorders>
            <w:shd w:val="clear" w:color="auto" w:fill="auto"/>
            <w:vAlign w:val="center"/>
            <w:hideMark/>
          </w:tcPr>
          <w:p w14:paraId="092B8476" w14:textId="77777777" w:rsidR="00A920E6" w:rsidRPr="00A920E6" w:rsidRDefault="00A920E6" w:rsidP="00A920E6">
            <w:pPr>
              <w:rPr>
                <w:rFonts w:ascii="Arial" w:hAnsi="Arial" w:cs="Arial"/>
                <w:sz w:val="18"/>
                <w:szCs w:val="18"/>
              </w:rPr>
            </w:pPr>
            <w:r w:rsidRPr="00A920E6">
              <w:rPr>
                <w:rFonts w:ascii="Arial" w:hAnsi="Arial" w:cs="Arial"/>
                <w:sz w:val="18"/>
                <w:szCs w:val="18"/>
              </w:rPr>
              <w:t>Prihodi iz nadležnog proračuna za financiranje rashoda za nabavu nefinancijske imovine</w:t>
            </w:r>
          </w:p>
        </w:tc>
        <w:tc>
          <w:tcPr>
            <w:tcW w:w="2919" w:type="dxa"/>
            <w:tcBorders>
              <w:top w:val="nil"/>
              <w:left w:val="nil"/>
              <w:bottom w:val="single" w:sz="4" w:space="0" w:color="C0C0C0"/>
              <w:right w:val="single" w:sz="4" w:space="0" w:color="000080"/>
            </w:tcBorders>
            <w:shd w:val="clear" w:color="auto" w:fill="auto"/>
            <w:vAlign w:val="center"/>
            <w:hideMark/>
          </w:tcPr>
          <w:p w14:paraId="65855704"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6712</w:t>
            </w:r>
          </w:p>
        </w:tc>
        <w:tc>
          <w:tcPr>
            <w:tcW w:w="1462" w:type="dxa"/>
            <w:tcBorders>
              <w:top w:val="nil"/>
              <w:left w:val="nil"/>
              <w:bottom w:val="single" w:sz="4" w:space="0" w:color="C0C0C0"/>
              <w:right w:val="single" w:sz="4" w:space="0" w:color="000080"/>
            </w:tcBorders>
            <w:shd w:val="clear" w:color="auto" w:fill="auto"/>
            <w:noWrap/>
            <w:vAlign w:val="center"/>
            <w:hideMark/>
          </w:tcPr>
          <w:p w14:paraId="47681E7A"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9.035.621,43</w:t>
            </w:r>
          </w:p>
        </w:tc>
        <w:tc>
          <w:tcPr>
            <w:tcW w:w="1462" w:type="dxa"/>
            <w:tcBorders>
              <w:top w:val="nil"/>
              <w:left w:val="nil"/>
              <w:bottom w:val="single" w:sz="4" w:space="0" w:color="C0C0C0"/>
              <w:right w:val="single" w:sz="4" w:space="0" w:color="000080"/>
            </w:tcBorders>
            <w:shd w:val="clear" w:color="auto" w:fill="auto"/>
            <w:noWrap/>
            <w:vAlign w:val="center"/>
            <w:hideMark/>
          </w:tcPr>
          <w:p w14:paraId="006608FD"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12.124.501,67</w:t>
            </w:r>
          </w:p>
        </w:tc>
        <w:tc>
          <w:tcPr>
            <w:tcW w:w="1574" w:type="dxa"/>
            <w:tcBorders>
              <w:top w:val="nil"/>
              <w:left w:val="nil"/>
              <w:bottom w:val="single" w:sz="4" w:space="0" w:color="C0C0C0"/>
              <w:right w:val="single" w:sz="4" w:space="0" w:color="000000"/>
            </w:tcBorders>
            <w:shd w:val="clear" w:color="auto" w:fill="auto"/>
            <w:noWrap/>
            <w:vAlign w:val="center"/>
            <w:hideMark/>
          </w:tcPr>
          <w:p w14:paraId="65737D24"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134,2</w:t>
            </w:r>
          </w:p>
        </w:tc>
      </w:tr>
      <w:tr w:rsidR="00A920E6" w:rsidRPr="00A920E6" w14:paraId="684D8F94"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589DED04"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6714</w:t>
            </w:r>
          </w:p>
        </w:tc>
        <w:tc>
          <w:tcPr>
            <w:tcW w:w="5157" w:type="dxa"/>
            <w:tcBorders>
              <w:top w:val="nil"/>
              <w:left w:val="nil"/>
              <w:bottom w:val="single" w:sz="4" w:space="0" w:color="C0C0C0"/>
              <w:right w:val="single" w:sz="4" w:space="0" w:color="000080"/>
            </w:tcBorders>
            <w:shd w:val="clear" w:color="auto" w:fill="auto"/>
            <w:vAlign w:val="center"/>
            <w:hideMark/>
          </w:tcPr>
          <w:p w14:paraId="3D9A9F66" w14:textId="77777777" w:rsidR="00A920E6" w:rsidRPr="00A920E6" w:rsidRDefault="00A920E6" w:rsidP="00A920E6">
            <w:pPr>
              <w:rPr>
                <w:rFonts w:ascii="Arial" w:hAnsi="Arial" w:cs="Arial"/>
                <w:sz w:val="18"/>
                <w:szCs w:val="18"/>
              </w:rPr>
            </w:pPr>
            <w:r w:rsidRPr="00A920E6">
              <w:rPr>
                <w:rFonts w:ascii="Arial" w:hAnsi="Arial" w:cs="Arial"/>
                <w:sz w:val="18"/>
                <w:szCs w:val="18"/>
              </w:rPr>
              <w:t>Prihodi iz nadležnog proračuna za financiranje izdataka za financijsku imovinu i otplatu zajmova</w:t>
            </w:r>
          </w:p>
        </w:tc>
        <w:tc>
          <w:tcPr>
            <w:tcW w:w="2919" w:type="dxa"/>
            <w:tcBorders>
              <w:top w:val="nil"/>
              <w:left w:val="nil"/>
              <w:bottom w:val="single" w:sz="4" w:space="0" w:color="C0C0C0"/>
              <w:right w:val="single" w:sz="4" w:space="0" w:color="000080"/>
            </w:tcBorders>
            <w:shd w:val="clear" w:color="auto" w:fill="auto"/>
            <w:vAlign w:val="center"/>
            <w:hideMark/>
          </w:tcPr>
          <w:p w14:paraId="6FE1E9F0"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6714</w:t>
            </w:r>
          </w:p>
        </w:tc>
        <w:tc>
          <w:tcPr>
            <w:tcW w:w="1462" w:type="dxa"/>
            <w:tcBorders>
              <w:top w:val="nil"/>
              <w:left w:val="nil"/>
              <w:bottom w:val="single" w:sz="4" w:space="0" w:color="C0C0C0"/>
              <w:right w:val="single" w:sz="4" w:space="0" w:color="000080"/>
            </w:tcBorders>
            <w:shd w:val="clear" w:color="auto" w:fill="auto"/>
            <w:noWrap/>
            <w:vAlign w:val="center"/>
            <w:hideMark/>
          </w:tcPr>
          <w:p w14:paraId="48D88CE1"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720.749,60</w:t>
            </w:r>
          </w:p>
        </w:tc>
        <w:tc>
          <w:tcPr>
            <w:tcW w:w="1462" w:type="dxa"/>
            <w:tcBorders>
              <w:top w:val="nil"/>
              <w:left w:val="nil"/>
              <w:bottom w:val="single" w:sz="4" w:space="0" w:color="C0C0C0"/>
              <w:right w:val="single" w:sz="4" w:space="0" w:color="000080"/>
            </w:tcBorders>
            <w:shd w:val="clear" w:color="auto" w:fill="auto"/>
            <w:noWrap/>
            <w:vAlign w:val="center"/>
            <w:hideMark/>
          </w:tcPr>
          <w:p w14:paraId="36A174C5"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28.169.765,10</w:t>
            </w:r>
          </w:p>
        </w:tc>
        <w:tc>
          <w:tcPr>
            <w:tcW w:w="1574" w:type="dxa"/>
            <w:tcBorders>
              <w:top w:val="nil"/>
              <w:left w:val="nil"/>
              <w:bottom w:val="single" w:sz="4" w:space="0" w:color="C0C0C0"/>
              <w:right w:val="single" w:sz="4" w:space="0" w:color="000000"/>
            </w:tcBorders>
            <w:shd w:val="clear" w:color="auto" w:fill="auto"/>
            <w:noWrap/>
            <w:vAlign w:val="center"/>
            <w:hideMark/>
          </w:tcPr>
          <w:p w14:paraId="6B098C05"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3.908,4</w:t>
            </w:r>
          </w:p>
        </w:tc>
      </w:tr>
      <w:tr w:rsidR="00A920E6" w:rsidRPr="00A920E6" w14:paraId="7D31C590"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4798C3F8"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w:t>
            </w:r>
          </w:p>
        </w:tc>
        <w:tc>
          <w:tcPr>
            <w:tcW w:w="5157" w:type="dxa"/>
            <w:tcBorders>
              <w:top w:val="nil"/>
              <w:left w:val="nil"/>
              <w:bottom w:val="single" w:sz="4" w:space="0" w:color="C0C0C0"/>
              <w:right w:val="single" w:sz="4" w:space="0" w:color="000080"/>
            </w:tcBorders>
            <w:shd w:val="clear" w:color="auto" w:fill="auto"/>
            <w:vAlign w:val="center"/>
            <w:hideMark/>
          </w:tcPr>
          <w:p w14:paraId="4AA2D517"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 xml:space="preserve">RASHODI POSLOVANJA (šifre 31+32+34+35+36+37+38) </w:t>
            </w:r>
          </w:p>
        </w:tc>
        <w:tc>
          <w:tcPr>
            <w:tcW w:w="2919" w:type="dxa"/>
            <w:tcBorders>
              <w:top w:val="nil"/>
              <w:left w:val="nil"/>
              <w:bottom w:val="single" w:sz="4" w:space="0" w:color="C0C0C0"/>
              <w:right w:val="single" w:sz="4" w:space="0" w:color="000080"/>
            </w:tcBorders>
            <w:shd w:val="clear" w:color="auto" w:fill="auto"/>
            <w:vAlign w:val="center"/>
            <w:hideMark/>
          </w:tcPr>
          <w:p w14:paraId="63D59E95"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w:t>
            </w:r>
          </w:p>
        </w:tc>
        <w:tc>
          <w:tcPr>
            <w:tcW w:w="1462" w:type="dxa"/>
            <w:tcBorders>
              <w:top w:val="nil"/>
              <w:left w:val="nil"/>
              <w:bottom w:val="single" w:sz="4" w:space="0" w:color="C0C0C0"/>
              <w:right w:val="single" w:sz="4" w:space="0" w:color="000080"/>
            </w:tcBorders>
            <w:shd w:val="clear" w:color="auto" w:fill="auto"/>
            <w:noWrap/>
            <w:vAlign w:val="center"/>
            <w:hideMark/>
          </w:tcPr>
          <w:p w14:paraId="1531A20F"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1.216.804.356,83</w:t>
            </w:r>
          </w:p>
        </w:tc>
        <w:tc>
          <w:tcPr>
            <w:tcW w:w="1462" w:type="dxa"/>
            <w:tcBorders>
              <w:top w:val="nil"/>
              <w:left w:val="nil"/>
              <w:bottom w:val="single" w:sz="4" w:space="0" w:color="C0C0C0"/>
              <w:right w:val="single" w:sz="4" w:space="0" w:color="000080"/>
            </w:tcBorders>
            <w:shd w:val="clear" w:color="auto" w:fill="auto"/>
            <w:noWrap/>
            <w:vAlign w:val="center"/>
            <w:hideMark/>
          </w:tcPr>
          <w:p w14:paraId="2C22CA74"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1.368.720.409,57</w:t>
            </w:r>
          </w:p>
        </w:tc>
        <w:tc>
          <w:tcPr>
            <w:tcW w:w="1574" w:type="dxa"/>
            <w:tcBorders>
              <w:top w:val="nil"/>
              <w:left w:val="nil"/>
              <w:bottom w:val="single" w:sz="4" w:space="0" w:color="C0C0C0"/>
              <w:right w:val="single" w:sz="4" w:space="0" w:color="000000"/>
            </w:tcBorders>
            <w:shd w:val="clear" w:color="auto" w:fill="auto"/>
            <w:noWrap/>
            <w:vAlign w:val="center"/>
            <w:hideMark/>
          </w:tcPr>
          <w:p w14:paraId="4DBD9609"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112,5</w:t>
            </w:r>
          </w:p>
        </w:tc>
      </w:tr>
      <w:tr w:rsidR="00A920E6" w:rsidRPr="00A920E6" w14:paraId="5969DAFC"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79750D89"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31</w:t>
            </w:r>
          </w:p>
        </w:tc>
        <w:tc>
          <w:tcPr>
            <w:tcW w:w="5157" w:type="dxa"/>
            <w:tcBorders>
              <w:top w:val="nil"/>
              <w:left w:val="nil"/>
              <w:bottom w:val="single" w:sz="4" w:space="0" w:color="C0C0C0"/>
              <w:right w:val="single" w:sz="4" w:space="0" w:color="000080"/>
            </w:tcBorders>
            <w:shd w:val="clear" w:color="auto" w:fill="auto"/>
            <w:vAlign w:val="center"/>
            <w:hideMark/>
          </w:tcPr>
          <w:p w14:paraId="1A953416"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Rashodi za zaposlene (šifre 311+312+313)</w:t>
            </w:r>
          </w:p>
        </w:tc>
        <w:tc>
          <w:tcPr>
            <w:tcW w:w="2919" w:type="dxa"/>
            <w:tcBorders>
              <w:top w:val="nil"/>
              <w:left w:val="nil"/>
              <w:bottom w:val="single" w:sz="4" w:space="0" w:color="C0C0C0"/>
              <w:right w:val="single" w:sz="4" w:space="0" w:color="000080"/>
            </w:tcBorders>
            <w:shd w:val="clear" w:color="auto" w:fill="auto"/>
            <w:vAlign w:val="center"/>
            <w:hideMark/>
          </w:tcPr>
          <w:p w14:paraId="68FBF872"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31</w:t>
            </w:r>
          </w:p>
        </w:tc>
        <w:tc>
          <w:tcPr>
            <w:tcW w:w="1462" w:type="dxa"/>
            <w:tcBorders>
              <w:top w:val="nil"/>
              <w:left w:val="nil"/>
              <w:bottom w:val="single" w:sz="4" w:space="0" w:color="C0C0C0"/>
              <w:right w:val="single" w:sz="4" w:space="0" w:color="000080"/>
            </w:tcBorders>
            <w:shd w:val="clear" w:color="auto" w:fill="auto"/>
            <w:noWrap/>
            <w:vAlign w:val="center"/>
            <w:hideMark/>
          </w:tcPr>
          <w:p w14:paraId="2577200E"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26.589.875,68</w:t>
            </w:r>
          </w:p>
        </w:tc>
        <w:tc>
          <w:tcPr>
            <w:tcW w:w="1462" w:type="dxa"/>
            <w:tcBorders>
              <w:top w:val="nil"/>
              <w:left w:val="nil"/>
              <w:bottom w:val="single" w:sz="4" w:space="0" w:color="C0C0C0"/>
              <w:right w:val="single" w:sz="4" w:space="0" w:color="000080"/>
            </w:tcBorders>
            <w:shd w:val="clear" w:color="auto" w:fill="auto"/>
            <w:noWrap/>
            <w:vAlign w:val="center"/>
            <w:hideMark/>
          </w:tcPr>
          <w:p w14:paraId="66158F7A"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31.334.676,49</w:t>
            </w:r>
          </w:p>
        </w:tc>
        <w:tc>
          <w:tcPr>
            <w:tcW w:w="1574" w:type="dxa"/>
            <w:tcBorders>
              <w:top w:val="nil"/>
              <w:left w:val="nil"/>
              <w:bottom w:val="single" w:sz="4" w:space="0" w:color="C0C0C0"/>
              <w:right w:val="single" w:sz="4" w:space="0" w:color="000000"/>
            </w:tcBorders>
            <w:shd w:val="clear" w:color="auto" w:fill="auto"/>
            <w:noWrap/>
            <w:vAlign w:val="center"/>
            <w:hideMark/>
          </w:tcPr>
          <w:p w14:paraId="642E25B7"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117,8</w:t>
            </w:r>
          </w:p>
        </w:tc>
      </w:tr>
      <w:tr w:rsidR="00A920E6" w:rsidRPr="00A920E6" w14:paraId="136955CE"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4D02D8E7"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311</w:t>
            </w:r>
          </w:p>
        </w:tc>
        <w:tc>
          <w:tcPr>
            <w:tcW w:w="5157" w:type="dxa"/>
            <w:tcBorders>
              <w:top w:val="nil"/>
              <w:left w:val="nil"/>
              <w:bottom w:val="single" w:sz="4" w:space="0" w:color="C0C0C0"/>
              <w:right w:val="single" w:sz="4" w:space="0" w:color="000080"/>
            </w:tcBorders>
            <w:shd w:val="clear" w:color="auto" w:fill="auto"/>
            <w:vAlign w:val="center"/>
            <w:hideMark/>
          </w:tcPr>
          <w:p w14:paraId="0147EA37"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 xml:space="preserve">Plaće (bruto) (šifre 3111 do 3114) </w:t>
            </w:r>
          </w:p>
        </w:tc>
        <w:tc>
          <w:tcPr>
            <w:tcW w:w="2919" w:type="dxa"/>
            <w:tcBorders>
              <w:top w:val="nil"/>
              <w:left w:val="nil"/>
              <w:bottom w:val="single" w:sz="4" w:space="0" w:color="C0C0C0"/>
              <w:right w:val="single" w:sz="4" w:space="0" w:color="000080"/>
            </w:tcBorders>
            <w:shd w:val="clear" w:color="auto" w:fill="auto"/>
            <w:vAlign w:val="center"/>
            <w:hideMark/>
          </w:tcPr>
          <w:p w14:paraId="3EF100B8"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311</w:t>
            </w:r>
          </w:p>
        </w:tc>
        <w:tc>
          <w:tcPr>
            <w:tcW w:w="1462" w:type="dxa"/>
            <w:tcBorders>
              <w:top w:val="nil"/>
              <w:left w:val="nil"/>
              <w:bottom w:val="single" w:sz="4" w:space="0" w:color="C0C0C0"/>
              <w:right w:val="single" w:sz="4" w:space="0" w:color="000080"/>
            </w:tcBorders>
            <w:shd w:val="clear" w:color="auto" w:fill="auto"/>
            <w:noWrap/>
            <w:vAlign w:val="center"/>
            <w:hideMark/>
          </w:tcPr>
          <w:p w14:paraId="3EB56A49"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22.230.554,39</w:t>
            </w:r>
          </w:p>
        </w:tc>
        <w:tc>
          <w:tcPr>
            <w:tcW w:w="1462" w:type="dxa"/>
            <w:tcBorders>
              <w:top w:val="nil"/>
              <w:left w:val="nil"/>
              <w:bottom w:val="single" w:sz="4" w:space="0" w:color="C0C0C0"/>
              <w:right w:val="single" w:sz="4" w:space="0" w:color="000080"/>
            </w:tcBorders>
            <w:shd w:val="clear" w:color="auto" w:fill="auto"/>
            <w:noWrap/>
            <w:vAlign w:val="center"/>
            <w:hideMark/>
          </w:tcPr>
          <w:p w14:paraId="50BB56D9"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26.270.091,32</w:t>
            </w:r>
          </w:p>
        </w:tc>
        <w:tc>
          <w:tcPr>
            <w:tcW w:w="1574" w:type="dxa"/>
            <w:tcBorders>
              <w:top w:val="nil"/>
              <w:left w:val="nil"/>
              <w:bottom w:val="single" w:sz="4" w:space="0" w:color="C0C0C0"/>
              <w:right w:val="single" w:sz="4" w:space="0" w:color="000000"/>
            </w:tcBorders>
            <w:shd w:val="clear" w:color="auto" w:fill="auto"/>
            <w:noWrap/>
            <w:vAlign w:val="center"/>
            <w:hideMark/>
          </w:tcPr>
          <w:p w14:paraId="3DFFA4FD"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118,2</w:t>
            </w:r>
          </w:p>
        </w:tc>
      </w:tr>
      <w:tr w:rsidR="00A920E6" w:rsidRPr="00A920E6" w14:paraId="75CA4C57"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4B0D75C9"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3111</w:t>
            </w:r>
          </w:p>
        </w:tc>
        <w:tc>
          <w:tcPr>
            <w:tcW w:w="5157" w:type="dxa"/>
            <w:tcBorders>
              <w:top w:val="nil"/>
              <w:left w:val="nil"/>
              <w:bottom w:val="single" w:sz="4" w:space="0" w:color="C0C0C0"/>
              <w:right w:val="single" w:sz="4" w:space="0" w:color="000080"/>
            </w:tcBorders>
            <w:shd w:val="clear" w:color="auto" w:fill="auto"/>
            <w:vAlign w:val="center"/>
            <w:hideMark/>
          </w:tcPr>
          <w:p w14:paraId="5E6C7177"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Plaće za redovan rad</w:t>
            </w:r>
          </w:p>
        </w:tc>
        <w:tc>
          <w:tcPr>
            <w:tcW w:w="2919" w:type="dxa"/>
            <w:tcBorders>
              <w:top w:val="nil"/>
              <w:left w:val="nil"/>
              <w:bottom w:val="single" w:sz="4" w:space="0" w:color="C0C0C0"/>
              <w:right w:val="single" w:sz="4" w:space="0" w:color="000080"/>
            </w:tcBorders>
            <w:shd w:val="clear" w:color="auto" w:fill="auto"/>
            <w:vAlign w:val="center"/>
            <w:hideMark/>
          </w:tcPr>
          <w:p w14:paraId="0149CD15"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3111</w:t>
            </w:r>
          </w:p>
        </w:tc>
        <w:tc>
          <w:tcPr>
            <w:tcW w:w="1462" w:type="dxa"/>
            <w:tcBorders>
              <w:top w:val="nil"/>
              <w:left w:val="nil"/>
              <w:bottom w:val="single" w:sz="4" w:space="0" w:color="C0C0C0"/>
              <w:right w:val="single" w:sz="4" w:space="0" w:color="000080"/>
            </w:tcBorders>
            <w:shd w:val="clear" w:color="auto" w:fill="auto"/>
            <w:noWrap/>
            <w:vAlign w:val="center"/>
            <w:hideMark/>
          </w:tcPr>
          <w:p w14:paraId="074D52DC"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21.555.444,35</w:t>
            </w:r>
          </w:p>
        </w:tc>
        <w:tc>
          <w:tcPr>
            <w:tcW w:w="1462" w:type="dxa"/>
            <w:tcBorders>
              <w:top w:val="nil"/>
              <w:left w:val="nil"/>
              <w:bottom w:val="single" w:sz="4" w:space="0" w:color="C0C0C0"/>
              <w:right w:val="single" w:sz="4" w:space="0" w:color="000080"/>
            </w:tcBorders>
            <w:shd w:val="clear" w:color="auto" w:fill="auto"/>
            <w:noWrap/>
            <w:vAlign w:val="center"/>
            <w:hideMark/>
          </w:tcPr>
          <w:p w14:paraId="3C706630"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25.577.741,62</w:t>
            </w:r>
          </w:p>
        </w:tc>
        <w:tc>
          <w:tcPr>
            <w:tcW w:w="1574" w:type="dxa"/>
            <w:tcBorders>
              <w:top w:val="nil"/>
              <w:left w:val="nil"/>
              <w:bottom w:val="single" w:sz="4" w:space="0" w:color="C0C0C0"/>
              <w:right w:val="single" w:sz="4" w:space="0" w:color="000000"/>
            </w:tcBorders>
            <w:shd w:val="clear" w:color="auto" w:fill="auto"/>
            <w:noWrap/>
            <w:vAlign w:val="center"/>
            <w:hideMark/>
          </w:tcPr>
          <w:p w14:paraId="3F0D217B"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118,7</w:t>
            </w:r>
          </w:p>
        </w:tc>
      </w:tr>
      <w:tr w:rsidR="00A920E6" w:rsidRPr="00A920E6" w14:paraId="091FE7A0"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6D46AA40"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3113</w:t>
            </w:r>
          </w:p>
        </w:tc>
        <w:tc>
          <w:tcPr>
            <w:tcW w:w="5157" w:type="dxa"/>
            <w:tcBorders>
              <w:top w:val="nil"/>
              <w:left w:val="nil"/>
              <w:bottom w:val="single" w:sz="4" w:space="0" w:color="C0C0C0"/>
              <w:right w:val="single" w:sz="4" w:space="0" w:color="000080"/>
            </w:tcBorders>
            <w:shd w:val="clear" w:color="auto" w:fill="auto"/>
            <w:vAlign w:val="center"/>
            <w:hideMark/>
          </w:tcPr>
          <w:p w14:paraId="4AFE43A6" w14:textId="77777777" w:rsidR="00A920E6" w:rsidRPr="00A920E6" w:rsidRDefault="00A920E6" w:rsidP="00A920E6">
            <w:pPr>
              <w:rPr>
                <w:rFonts w:ascii="Arial" w:hAnsi="Arial" w:cs="Arial"/>
                <w:sz w:val="18"/>
                <w:szCs w:val="18"/>
              </w:rPr>
            </w:pPr>
            <w:r w:rsidRPr="00A920E6">
              <w:rPr>
                <w:rFonts w:ascii="Arial" w:hAnsi="Arial" w:cs="Arial"/>
                <w:sz w:val="18"/>
                <w:szCs w:val="18"/>
              </w:rPr>
              <w:t>Plaće za prekovremeni rad</w:t>
            </w:r>
          </w:p>
        </w:tc>
        <w:tc>
          <w:tcPr>
            <w:tcW w:w="2919" w:type="dxa"/>
            <w:tcBorders>
              <w:top w:val="nil"/>
              <w:left w:val="nil"/>
              <w:bottom w:val="single" w:sz="4" w:space="0" w:color="C0C0C0"/>
              <w:right w:val="single" w:sz="4" w:space="0" w:color="000080"/>
            </w:tcBorders>
            <w:shd w:val="clear" w:color="auto" w:fill="auto"/>
            <w:vAlign w:val="center"/>
            <w:hideMark/>
          </w:tcPr>
          <w:p w14:paraId="17760E73"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3113</w:t>
            </w:r>
          </w:p>
        </w:tc>
        <w:tc>
          <w:tcPr>
            <w:tcW w:w="1462" w:type="dxa"/>
            <w:tcBorders>
              <w:top w:val="nil"/>
              <w:left w:val="nil"/>
              <w:bottom w:val="single" w:sz="4" w:space="0" w:color="C0C0C0"/>
              <w:right w:val="single" w:sz="4" w:space="0" w:color="000080"/>
            </w:tcBorders>
            <w:shd w:val="clear" w:color="auto" w:fill="auto"/>
            <w:noWrap/>
            <w:vAlign w:val="center"/>
            <w:hideMark/>
          </w:tcPr>
          <w:p w14:paraId="27150EC5"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597.467,65</w:t>
            </w:r>
          </w:p>
        </w:tc>
        <w:tc>
          <w:tcPr>
            <w:tcW w:w="1462" w:type="dxa"/>
            <w:tcBorders>
              <w:top w:val="nil"/>
              <w:left w:val="nil"/>
              <w:bottom w:val="single" w:sz="4" w:space="0" w:color="C0C0C0"/>
              <w:right w:val="single" w:sz="4" w:space="0" w:color="000080"/>
            </w:tcBorders>
            <w:shd w:val="clear" w:color="auto" w:fill="auto"/>
            <w:noWrap/>
            <w:vAlign w:val="center"/>
            <w:hideMark/>
          </w:tcPr>
          <w:p w14:paraId="6DE46FDC"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692.349,70</w:t>
            </w:r>
          </w:p>
        </w:tc>
        <w:tc>
          <w:tcPr>
            <w:tcW w:w="1574" w:type="dxa"/>
            <w:tcBorders>
              <w:top w:val="nil"/>
              <w:left w:val="nil"/>
              <w:bottom w:val="single" w:sz="4" w:space="0" w:color="C0C0C0"/>
              <w:right w:val="single" w:sz="4" w:space="0" w:color="000000"/>
            </w:tcBorders>
            <w:shd w:val="clear" w:color="auto" w:fill="auto"/>
            <w:noWrap/>
            <w:vAlign w:val="center"/>
            <w:hideMark/>
          </w:tcPr>
          <w:p w14:paraId="6FA43205"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115,9</w:t>
            </w:r>
          </w:p>
        </w:tc>
      </w:tr>
      <w:tr w:rsidR="00A920E6" w:rsidRPr="00A920E6" w14:paraId="5EB15DA2"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280597B4"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3114</w:t>
            </w:r>
          </w:p>
        </w:tc>
        <w:tc>
          <w:tcPr>
            <w:tcW w:w="5157" w:type="dxa"/>
            <w:tcBorders>
              <w:top w:val="nil"/>
              <w:left w:val="nil"/>
              <w:bottom w:val="single" w:sz="4" w:space="0" w:color="C0C0C0"/>
              <w:right w:val="single" w:sz="4" w:space="0" w:color="000080"/>
            </w:tcBorders>
            <w:shd w:val="clear" w:color="auto" w:fill="auto"/>
            <w:vAlign w:val="center"/>
            <w:hideMark/>
          </w:tcPr>
          <w:p w14:paraId="79999F2A" w14:textId="77777777" w:rsidR="00A920E6" w:rsidRPr="00A920E6" w:rsidRDefault="00A920E6" w:rsidP="00A920E6">
            <w:pPr>
              <w:rPr>
                <w:rFonts w:ascii="Arial" w:hAnsi="Arial" w:cs="Arial"/>
                <w:sz w:val="18"/>
                <w:szCs w:val="18"/>
              </w:rPr>
            </w:pPr>
            <w:r w:rsidRPr="00A920E6">
              <w:rPr>
                <w:rFonts w:ascii="Arial" w:hAnsi="Arial" w:cs="Arial"/>
                <w:sz w:val="18"/>
                <w:szCs w:val="18"/>
              </w:rPr>
              <w:t>Plaće za posebne uvjete rada</w:t>
            </w:r>
          </w:p>
        </w:tc>
        <w:tc>
          <w:tcPr>
            <w:tcW w:w="2919" w:type="dxa"/>
            <w:tcBorders>
              <w:top w:val="nil"/>
              <w:left w:val="nil"/>
              <w:bottom w:val="single" w:sz="4" w:space="0" w:color="C0C0C0"/>
              <w:right w:val="single" w:sz="4" w:space="0" w:color="000080"/>
            </w:tcBorders>
            <w:shd w:val="clear" w:color="auto" w:fill="auto"/>
            <w:vAlign w:val="center"/>
            <w:hideMark/>
          </w:tcPr>
          <w:p w14:paraId="157C191A"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3114</w:t>
            </w:r>
          </w:p>
        </w:tc>
        <w:tc>
          <w:tcPr>
            <w:tcW w:w="1462" w:type="dxa"/>
            <w:tcBorders>
              <w:top w:val="nil"/>
              <w:left w:val="nil"/>
              <w:bottom w:val="single" w:sz="4" w:space="0" w:color="C0C0C0"/>
              <w:right w:val="single" w:sz="4" w:space="0" w:color="000080"/>
            </w:tcBorders>
            <w:shd w:val="clear" w:color="auto" w:fill="auto"/>
            <w:noWrap/>
            <w:vAlign w:val="center"/>
            <w:hideMark/>
          </w:tcPr>
          <w:p w14:paraId="54DBC440"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77.642,39</w:t>
            </w:r>
          </w:p>
        </w:tc>
        <w:tc>
          <w:tcPr>
            <w:tcW w:w="1462" w:type="dxa"/>
            <w:tcBorders>
              <w:top w:val="nil"/>
              <w:left w:val="nil"/>
              <w:bottom w:val="single" w:sz="4" w:space="0" w:color="C0C0C0"/>
              <w:right w:val="single" w:sz="4" w:space="0" w:color="000080"/>
            </w:tcBorders>
            <w:shd w:val="clear" w:color="auto" w:fill="auto"/>
            <w:noWrap/>
            <w:vAlign w:val="center"/>
            <w:hideMark/>
          </w:tcPr>
          <w:p w14:paraId="0E04A1DF"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 </w:t>
            </w:r>
          </w:p>
        </w:tc>
        <w:tc>
          <w:tcPr>
            <w:tcW w:w="1574" w:type="dxa"/>
            <w:tcBorders>
              <w:top w:val="nil"/>
              <w:left w:val="nil"/>
              <w:bottom w:val="single" w:sz="4" w:space="0" w:color="C0C0C0"/>
              <w:right w:val="single" w:sz="4" w:space="0" w:color="000000"/>
            </w:tcBorders>
            <w:shd w:val="clear" w:color="auto" w:fill="auto"/>
            <w:noWrap/>
            <w:vAlign w:val="center"/>
            <w:hideMark/>
          </w:tcPr>
          <w:p w14:paraId="62C29A96"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0,0</w:t>
            </w:r>
          </w:p>
        </w:tc>
      </w:tr>
      <w:tr w:rsidR="00A920E6" w:rsidRPr="00A920E6" w14:paraId="4ABA4077"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5561F454"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312</w:t>
            </w:r>
          </w:p>
        </w:tc>
        <w:tc>
          <w:tcPr>
            <w:tcW w:w="5157" w:type="dxa"/>
            <w:tcBorders>
              <w:top w:val="nil"/>
              <w:left w:val="nil"/>
              <w:bottom w:val="single" w:sz="4" w:space="0" w:color="C0C0C0"/>
              <w:right w:val="single" w:sz="4" w:space="0" w:color="000080"/>
            </w:tcBorders>
            <w:shd w:val="clear" w:color="auto" w:fill="auto"/>
            <w:vAlign w:val="center"/>
            <w:hideMark/>
          </w:tcPr>
          <w:p w14:paraId="29E72A9C" w14:textId="77777777" w:rsidR="00A920E6" w:rsidRPr="00A920E6" w:rsidRDefault="00A920E6" w:rsidP="00A920E6">
            <w:pPr>
              <w:rPr>
                <w:rFonts w:ascii="Arial" w:hAnsi="Arial" w:cs="Arial"/>
                <w:sz w:val="18"/>
                <w:szCs w:val="18"/>
              </w:rPr>
            </w:pPr>
            <w:r w:rsidRPr="00A920E6">
              <w:rPr>
                <w:rFonts w:ascii="Arial" w:hAnsi="Arial" w:cs="Arial"/>
                <w:sz w:val="18"/>
                <w:szCs w:val="18"/>
              </w:rPr>
              <w:t>Ostali rashodi za zaposlene</w:t>
            </w:r>
          </w:p>
        </w:tc>
        <w:tc>
          <w:tcPr>
            <w:tcW w:w="2919" w:type="dxa"/>
            <w:tcBorders>
              <w:top w:val="nil"/>
              <w:left w:val="nil"/>
              <w:bottom w:val="single" w:sz="4" w:space="0" w:color="C0C0C0"/>
              <w:right w:val="single" w:sz="4" w:space="0" w:color="000080"/>
            </w:tcBorders>
            <w:shd w:val="clear" w:color="auto" w:fill="auto"/>
            <w:vAlign w:val="center"/>
            <w:hideMark/>
          </w:tcPr>
          <w:p w14:paraId="245A7253"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312</w:t>
            </w:r>
          </w:p>
        </w:tc>
        <w:tc>
          <w:tcPr>
            <w:tcW w:w="1462" w:type="dxa"/>
            <w:tcBorders>
              <w:top w:val="nil"/>
              <w:left w:val="nil"/>
              <w:bottom w:val="single" w:sz="4" w:space="0" w:color="C0C0C0"/>
              <w:right w:val="single" w:sz="4" w:space="0" w:color="000080"/>
            </w:tcBorders>
            <w:shd w:val="clear" w:color="auto" w:fill="auto"/>
            <w:noWrap/>
            <w:vAlign w:val="center"/>
            <w:hideMark/>
          </w:tcPr>
          <w:p w14:paraId="3CE090DA"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757.033,08</w:t>
            </w:r>
          </w:p>
        </w:tc>
        <w:tc>
          <w:tcPr>
            <w:tcW w:w="1462" w:type="dxa"/>
            <w:tcBorders>
              <w:top w:val="nil"/>
              <w:left w:val="nil"/>
              <w:bottom w:val="single" w:sz="4" w:space="0" w:color="C0C0C0"/>
              <w:right w:val="single" w:sz="4" w:space="0" w:color="000080"/>
            </w:tcBorders>
            <w:shd w:val="clear" w:color="auto" w:fill="auto"/>
            <w:noWrap/>
            <w:vAlign w:val="center"/>
            <w:hideMark/>
          </w:tcPr>
          <w:p w14:paraId="0E21C59A"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821.692,92</w:t>
            </w:r>
          </w:p>
        </w:tc>
        <w:tc>
          <w:tcPr>
            <w:tcW w:w="1574" w:type="dxa"/>
            <w:tcBorders>
              <w:top w:val="nil"/>
              <w:left w:val="nil"/>
              <w:bottom w:val="single" w:sz="4" w:space="0" w:color="C0C0C0"/>
              <w:right w:val="single" w:sz="4" w:space="0" w:color="000000"/>
            </w:tcBorders>
            <w:shd w:val="clear" w:color="auto" w:fill="auto"/>
            <w:noWrap/>
            <w:vAlign w:val="center"/>
            <w:hideMark/>
          </w:tcPr>
          <w:p w14:paraId="40A66695"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108,5</w:t>
            </w:r>
          </w:p>
        </w:tc>
      </w:tr>
      <w:tr w:rsidR="00A920E6" w:rsidRPr="00A920E6" w14:paraId="3F652823"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6647E301"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313</w:t>
            </w:r>
          </w:p>
        </w:tc>
        <w:tc>
          <w:tcPr>
            <w:tcW w:w="5157" w:type="dxa"/>
            <w:tcBorders>
              <w:top w:val="nil"/>
              <w:left w:val="nil"/>
              <w:bottom w:val="single" w:sz="4" w:space="0" w:color="C0C0C0"/>
              <w:right w:val="single" w:sz="4" w:space="0" w:color="000080"/>
            </w:tcBorders>
            <w:shd w:val="clear" w:color="auto" w:fill="auto"/>
            <w:vAlign w:val="center"/>
            <w:hideMark/>
          </w:tcPr>
          <w:p w14:paraId="6EDC8C08" w14:textId="77777777" w:rsidR="00A920E6" w:rsidRPr="00A920E6" w:rsidRDefault="00A920E6" w:rsidP="00A920E6">
            <w:pPr>
              <w:rPr>
                <w:rFonts w:ascii="Arial" w:hAnsi="Arial" w:cs="Arial"/>
                <w:sz w:val="18"/>
                <w:szCs w:val="18"/>
              </w:rPr>
            </w:pPr>
            <w:r w:rsidRPr="00A920E6">
              <w:rPr>
                <w:rFonts w:ascii="Arial" w:hAnsi="Arial" w:cs="Arial"/>
                <w:sz w:val="18"/>
                <w:szCs w:val="18"/>
              </w:rPr>
              <w:t>Doprinosi na plaće (šifre 3131 do 3133)</w:t>
            </w:r>
          </w:p>
        </w:tc>
        <w:tc>
          <w:tcPr>
            <w:tcW w:w="2919" w:type="dxa"/>
            <w:tcBorders>
              <w:top w:val="nil"/>
              <w:left w:val="nil"/>
              <w:bottom w:val="single" w:sz="4" w:space="0" w:color="C0C0C0"/>
              <w:right w:val="single" w:sz="4" w:space="0" w:color="000080"/>
            </w:tcBorders>
            <w:shd w:val="clear" w:color="auto" w:fill="auto"/>
            <w:vAlign w:val="center"/>
            <w:hideMark/>
          </w:tcPr>
          <w:p w14:paraId="1DF4F39D"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313</w:t>
            </w:r>
          </w:p>
        </w:tc>
        <w:tc>
          <w:tcPr>
            <w:tcW w:w="1462" w:type="dxa"/>
            <w:tcBorders>
              <w:top w:val="nil"/>
              <w:left w:val="nil"/>
              <w:bottom w:val="single" w:sz="4" w:space="0" w:color="C0C0C0"/>
              <w:right w:val="single" w:sz="4" w:space="0" w:color="000080"/>
            </w:tcBorders>
            <w:shd w:val="clear" w:color="auto" w:fill="auto"/>
            <w:noWrap/>
            <w:vAlign w:val="center"/>
            <w:hideMark/>
          </w:tcPr>
          <w:p w14:paraId="5932864E"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3.602.288,21</w:t>
            </w:r>
          </w:p>
        </w:tc>
        <w:tc>
          <w:tcPr>
            <w:tcW w:w="1462" w:type="dxa"/>
            <w:tcBorders>
              <w:top w:val="nil"/>
              <w:left w:val="nil"/>
              <w:bottom w:val="single" w:sz="4" w:space="0" w:color="C0C0C0"/>
              <w:right w:val="single" w:sz="4" w:space="0" w:color="000080"/>
            </w:tcBorders>
            <w:shd w:val="clear" w:color="auto" w:fill="auto"/>
            <w:noWrap/>
            <w:vAlign w:val="center"/>
            <w:hideMark/>
          </w:tcPr>
          <w:p w14:paraId="025747FD"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4.242.892,25</w:t>
            </w:r>
          </w:p>
        </w:tc>
        <w:tc>
          <w:tcPr>
            <w:tcW w:w="1574" w:type="dxa"/>
            <w:tcBorders>
              <w:top w:val="nil"/>
              <w:left w:val="nil"/>
              <w:bottom w:val="single" w:sz="4" w:space="0" w:color="C0C0C0"/>
              <w:right w:val="single" w:sz="4" w:space="0" w:color="000000"/>
            </w:tcBorders>
            <w:shd w:val="clear" w:color="auto" w:fill="auto"/>
            <w:noWrap/>
            <w:vAlign w:val="center"/>
            <w:hideMark/>
          </w:tcPr>
          <w:p w14:paraId="69716CBB"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117,8</w:t>
            </w:r>
          </w:p>
        </w:tc>
      </w:tr>
      <w:tr w:rsidR="00A920E6" w:rsidRPr="00A920E6" w14:paraId="54CA7261"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26C1AE45"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3131</w:t>
            </w:r>
          </w:p>
        </w:tc>
        <w:tc>
          <w:tcPr>
            <w:tcW w:w="5157" w:type="dxa"/>
            <w:tcBorders>
              <w:top w:val="nil"/>
              <w:left w:val="nil"/>
              <w:bottom w:val="single" w:sz="4" w:space="0" w:color="C0C0C0"/>
              <w:right w:val="single" w:sz="4" w:space="0" w:color="000080"/>
            </w:tcBorders>
            <w:shd w:val="clear" w:color="auto" w:fill="auto"/>
            <w:vAlign w:val="center"/>
            <w:hideMark/>
          </w:tcPr>
          <w:p w14:paraId="6F474197" w14:textId="77777777" w:rsidR="00A920E6" w:rsidRPr="00A920E6" w:rsidRDefault="00A920E6" w:rsidP="00A920E6">
            <w:pPr>
              <w:rPr>
                <w:rFonts w:ascii="Arial" w:hAnsi="Arial" w:cs="Arial"/>
                <w:sz w:val="18"/>
                <w:szCs w:val="18"/>
              </w:rPr>
            </w:pPr>
            <w:r w:rsidRPr="00A920E6">
              <w:rPr>
                <w:rFonts w:ascii="Arial" w:hAnsi="Arial" w:cs="Arial"/>
                <w:sz w:val="18"/>
                <w:szCs w:val="18"/>
              </w:rPr>
              <w:t>Doprinosi za mirovinsko osiguranje za staž s povećanim trajanjem</w:t>
            </w:r>
          </w:p>
        </w:tc>
        <w:tc>
          <w:tcPr>
            <w:tcW w:w="2919" w:type="dxa"/>
            <w:tcBorders>
              <w:top w:val="nil"/>
              <w:left w:val="nil"/>
              <w:bottom w:val="single" w:sz="4" w:space="0" w:color="C0C0C0"/>
              <w:right w:val="single" w:sz="4" w:space="0" w:color="000080"/>
            </w:tcBorders>
            <w:shd w:val="clear" w:color="auto" w:fill="auto"/>
            <w:vAlign w:val="center"/>
            <w:hideMark/>
          </w:tcPr>
          <w:p w14:paraId="1BAC245C"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3131</w:t>
            </w:r>
          </w:p>
        </w:tc>
        <w:tc>
          <w:tcPr>
            <w:tcW w:w="1462" w:type="dxa"/>
            <w:tcBorders>
              <w:top w:val="nil"/>
              <w:left w:val="nil"/>
              <w:bottom w:val="single" w:sz="4" w:space="0" w:color="C0C0C0"/>
              <w:right w:val="single" w:sz="4" w:space="0" w:color="000080"/>
            </w:tcBorders>
            <w:shd w:val="clear" w:color="auto" w:fill="auto"/>
            <w:noWrap/>
            <w:vAlign w:val="center"/>
            <w:hideMark/>
          </w:tcPr>
          <w:p w14:paraId="35FBA37B"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31.620,99</w:t>
            </w:r>
          </w:p>
        </w:tc>
        <w:tc>
          <w:tcPr>
            <w:tcW w:w="1462" w:type="dxa"/>
            <w:tcBorders>
              <w:top w:val="nil"/>
              <w:left w:val="nil"/>
              <w:bottom w:val="single" w:sz="4" w:space="0" w:color="C0C0C0"/>
              <w:right w:val="single" w:sz="4" w:space="0" w:color="000080"/>
            </w:tcBorders>
            <w:shd w:val="clear" w:color="auto" w:fill="auto"/>
            <w:noWrap/>
            <w:vAlign w:val="center"/>
            <w:hideMark/>
          </w:tcPr>
          <w:p w14:paraId="11BB7928"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29.718,14</w:t>
            </w:r>
          </w:p>
        </w:tc>
        <w:tc>
          <w:tcPr>
            <w:tcW w:w="1574" w:type="dxa"/>
            <w:tcBorders>
              <w:top w:val="nil"/>
              <w:left w:val="nil"/>
              <w:bottom w:val="single" w:sz="4" w:space="0" w:color="C0C0C0"/>
              <w:right w:val="single" w:sz="4" w:space="0" w:color="000000"/>
            </w:tcBorders>
            <w:shd w:val="clear" w:color="auto" w:fill="auto"/>
            <w:noWrap/>
            <w:vAlign w:val="center"/>
            <w:hideMark/>
          </w:tcPr>
          <w:p w14:paraId="6023B458"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94,0</w:t>
            </w:r>
          </w:p>
        </w:tc>
      </w:tr>
      <w:tr w:rsidR="00A920E6" w:rsidRPr="00A920E6" w14:paraId="44EBF36F"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7592C7FB"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3132</w:t>
            </w:r>
          </w:p>
        </w:tc>
        <w:tc>
          <w:tcPr>
            <w:tcW w:w="5157" w:type="dxa"/>
            <w:tcBorders>
              <w:top w:val="nil"/>
              <w:left w:val="nil"/>
              <w:bottom w:val="single" w:sz="4" w:space="0" w:color="C0C0C0"/>
              <w:right w:val="single" w:sz="4" w:space="0" w:color="000080"/>
            </w:tcBorders>
            <w:shd w:val="clear" w:color="auto" w:fill="auto"/>
            <w:vAlign w:val="center"/>
            <w:hideMark/>
          </w:tcPr>
          <w:p w14:paraId="1B0ED2BC" w14:textId="77777777" w:rsidR="00A920E6" w:rsidRPr="00A920E6" w:rsidRDefault="00A920E6" w:rsidP="00A920E6">
            <w:pPr>
              <w:rPr>
                <w:rFonts w:ascii="Arial" w:hAnsi="Arial" w:cs="Arial"/>
                <w:sz w:val="18"/>
                <w:szCs w:val="18"/>
              </w:rPr>
            </w:pPr>
            <w:r w:rsidRPr="00A920E6">
              <w:rPr>
                <w:rFonts w:ascii="Arial" w:hAnsi="Arial" w:cs="Arial"/>
                <w:sz w:val="18"/>
                <w:szCs w:val="18"/>
              </w:rPr>
              <w:t>Doprinosi za obvezno zdravstveno osiguranje</w:t>
            </w:r>
          </w:p>
        </w:tc>
        <w:tc>
          <w:tcPr>
            <w:tcW w:w="2919" w:type="dxa"/>
            <w:tcBorders>
              <w:top w:val="nil"/>
              <w:left w:val="nil"/>
              <w:bottom w:val="single" w:sz="4" w:space="0" w:color="C0C0C0"/>
              <w:right w:val="single" w:sz="4" w:space="0" w:color="000080"/>
            </w:tcBorders>
            <w:shd w:val="clear" w:color="auto" w:fill="auto"/>
            <w:vAlign w:val="center"/>
            <w:hideMark/>
          </w:tcPr>
          <w:p w14:paraId="22B7352A"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3132</w:t>
            </w:r>
          </w:p>
        </w:tc>
        <w:tc>
          <w:tcPr>
            <w:tcW w:w="1462" w:type="dxa"/>
            <w:tcBorders>
              <w:top w:val="nil"/>
              <w:left w:val="nil"/>
              <w:bottom w:val="single" w:sz="4" w:space="0" w:color="C0C0C0"/>
              <w:right w:val="single" w:sz="4" w:space="0" w:color="000080"/>
            </w:tcBorders>
            <w:shd w:val="clear" w:color="auto" w:fill="auto"/>
            <w:noWrap/>
            <w:vAlign w:val="center"/>
            <w:hideMark/>
          </w:tcPr>
          <w:p w14:paraId="697F4EF1"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3.570.188,80</w:t>
            </w:r>
          </w:p>
        </w:tc>
        <w:tc>
          <w:tcPr>
            <w:tcW w:w="1462" w:type="dxa"/>
            <w:tcBorders>
              <w:top w:val="nil"/>
              <w:left w:val="nil"/>
              <w:bottom w:val="single" w:sz="4" w:space="0" w:color="C0C0C0"/>
              <w:right w:val="single" w:sz="4" w:space="0" w:color="000080"/>
            </w:tcBorders>
            <w:shd w:val="clear" w:color="auto" w:fill="auto"/>
            <w:noWrap/>
            <w:vAlign w:val="center"/>
            <w:hideMark/>
          </w:tcPr>
          <w:p w14:paraId="540466B7"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4.213.119,58</w:t>
            </w:r>
          </w:p>
        </w:tc>
        <w:tc>
          <w:tcPr>
            <w:tcW w:w="1574" w:type="dxa"/>
            <w:tcBorders>
              <w:top w:val="nil"/>
              <w:left w:val="nil"/>
              <w:bottom w:val="single" w:sz="4" w:space="0" w:color="C0C0C0"/>
              <w:right w:val="single" w:sz="4" w:space="0" w:color="000000"/>
            </w:tcBorders>
            <w:shd w:val="clear" w:color="auto" w:fill="auto"/>
            <w:noWrap/>
            <w:vAlign w:val="center"/>
            <w:hideMark/>
          </w:tcPr>
          <w:p w14:paraId="47E55B4A"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118,0</w:t>
            </w:r>
          </w:p>
        </w:tc>
      </w:tr>
      <w:tr w:rsidR="00A920E6" w:rsidRPr="00A920E6" w14:paraId="3CAB7731"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2AE6C317"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3133</w:t>
            </w:r>
          </w:p>
        </w:tc>
        <w:tc>
          <w:tcPr>
            <w:tcW w:w="5157" w:type="dxa"/>
            <w:tcBorders>
              <w:top w:val="nil"/>
              <w:left w:val="nil"/>
              <w:bottom w:val="single" w:sz="4" w:space="0" w:color="C0C0C0"/>
              <w:right w:val="single" w:sz="4" w:space="0" w:color="000080"/>
            </w:tcBorders>
            <w:shd w:val="clear" w:color="auto" w:fill="auto"/>
            <w:vAlign w:val="center"/>
            <w:hideMark/>
          </w:tcPr>
          <w:p w14:paraId="71D7140E"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Doprinosi za obvezno osiguranje u slučaju nezaposlenosti</w:t>
            </w:r>
          </w:p>
        </w:tc>
        <w:tc>
          <w:tcPr>
            <w:tcW w:w="2919" w:type="dxa"/>
            <w:tcBorders>
              <w:top w:val="nil"/>
              <w:left w:val="nil"/>
              <w:bottom w:val="single" w:sz="4" w:space="0" w:color="C0C0C0"/>
              <w:right w:val="single" w:sz="4" w:space="0" w:color="000080"/>
            </w:tcBorders>
            <w:shd w:val="clear" w:color="auto" w:fill="auto"/>
            <w:vAlign w:val="center"/>
            <w:hideMark/>
          </w:tcPr>
          <w:p w14:paraId="632960F5"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3133</w:t>
            </w:r>
          </w:p>
        </w:tc>
        <w:tc>
          <w:tcPr>
            <w:tcW w:w="1462" w:type="dxa"/>
            <w:tcBorders>
              <w:top w:val="nil"/>
              <w:left w:val="nil"/>
              <w:bottom w:val="single" w:sz="4" w:space="0" w:color="C0C0C0"/>
              <w:right w:val="single" w:sz="4" w:space="0" w:color="000080"/>
            </w:tcBorders>
            <w:shd w:val="clear" w:color="auto" w:fill="auto"/>
            <w:noWrap/>
            <w:vAlign w:val="center"/>
            <w:hideMark/>
          </w:tcPr>
          <w:p w14:paraId="45798B38"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478,42</w:t>
            </w:r>
          </w:p>
        </w:tc>
        <w:tc>
          <w:tcPr>
            <w:tcW w:w="1462" w:type="dxa"/>
            <w:tcBorders>
              <w:top w:val="nil"/>
              <w:left w:val="nil"/>
              <w:bottom w:val="single" w:sz="4" w:space="0" w:color="C0C0C0"/>
              <w:right w:val="single" w:sz="4" w:space="0" w:color="000080"/>
            </w:tcBorders>
            <w:shd w:val="clear" w:color="auto" w:fill="auto"/>
            <w:noWrap/>
            <w:vAlign w:val="center"/>
            <w:hideMark/>
          </w:tcPr>
          <w:p w14:paraId="62DEB29E"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54,53</w:t>
            </w:r>
          </w:p>
        </w:tc>
        <w:tc>
          <w:tcPr>
            <w:tcW w:w="1574" w:type="dxa"/>
            <w:tcBorders>
              <w:top w:val="nil"/>
              <w:left w:val="nil"/>
              <w:bottom w:val="single" w:sz="4" w:space="0" w:color="C0C0C0"/>
              <w:right w:val="single" w:sz="4" w:space="0" w:color="000000"/>
            </w:tcBorders>
            <w:shd w:val="clear" w:color="auto" w:fill="auto"/>
            <w:noWrap/>
            <w:vAlign w:val="center"/>
            <w:hideMark/>
          </w:tcPr>
          <w:p w14:paraId="147737FC"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11,4</w:t>
            </w:r>
          </w:p>
        </w:tc>
      </w:tr>
      <w:tr w:rsidR="00A920E6" w:rsidRPr="00A920E6" w14:paraId="73B64DDE"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190878EE" w14:textId="77777777" w:rsidR="00A920E6" w:rsidRPr="00A920E6" w:rsidRDefault="00A920E6" w:rsidP="00A920E6">
            <w:pPr>
              <w:rPr>
                <w:rFonts w:ascii="Arial" w:hAnsi="Arial" w:cs="Arial"/>
                <w:sz w:val="18"/>
                <w:szCs w:val="18"/>
              </w:rPr>
            </w:pPr>
            <w:r w:rsidRPr="00A920E6">
              <w:rPr>
                <w:rFonts w:ascii="Arial" w:hAnsi="Arial" w:cs="Arial"/>
                <w:sz w:val="18"/>
                <w:szCs w:val="18"/>
              </w:rPr>
              <w:t>32</w:t>
            </w:r>
          </w:p>
        </w:tc>
        <w:tc>
          <w:tcPr>
            <w:tcW w:w="5157" w:type="dxa"/>
            <w:tcBorders>
              <w:top w:val="nil"/>
              <w:left w:val="nil"/>
              <w:bottom w:val="single" w:sz="4" w:space="0" w:color="C0C0C0"/>
              <w:right w:val="single" w:sz="4" w:space="0" w:color="000080"/>
            </w:tcBorders>
            <w:shd w:val="clear" w:color="auto" w:fill="auto"/>
            <w:vAlign w:val="center"/>
            <w:hideMark/>
          </w:tcPr>
          <w:p w14:paraId="75140C0A" w14:textId="77777777" w:rsidR="00A920E6" w:rsidRPr="00A920E6" w:rsidRDefault="00A920E6" w:rsidP="00A920E6">
            <w:pPr>
              <w:rPr>
                <w:rFonts w:ascii="Arial" w:hAnsi="Arial" w:cs="Arial"/>
                <w:sz w:val="18"/>
                <w:szCs w:val="18"/>
              </w:rPr>
            </w:pPr>
            <w:r w:rsidRPr="00A920E6">
              <w:rPr>
                <w:rFonts w:ascii="Arial" w:hAnsi="Arial" w:cs="Arial"/>
                <w:sz w:val="18"/>
                <w:szCs w:val="18"/>
              </w:rPr>
              <w:t>Materijalni rashodi (šifre 321+322+323+324+325+329)</w:t>
            </w:r>
          </w:p>
        </w:tc>
        <w:tc>
          <w:tcPr>
            <w:tcW w:w="2919" w:type="dxa"/>
            <w:tcBorders>
              <w:top w:val="nil"/>
              <w:left w:val="nil"/>
              <w:bottom w:val="single" w:sz="4" w:space="0" w:color="C0C0C0"/>
              <w:right w:val="single" w:sz="4" w:space="0" w:color="000080"/>
            </w:tcBorders>
            <w:shd w:val="clear" w:color="auto" w:fill="auto"/>
            <w:vAlign w:val="center"/>
            <w:hideMark/>
          </w:tcPr>
          <w:p w14:paraId="1D1EC3B6"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32</w:t>
            </w:r>
          </w:p>
        </w:tc>
        <w:tc>
          <w:tcPr>
            <w:tcW w:w="1462" w:type="dxa"/>
            <w:tcBorders>
              <w:top w:val="nil"/>
              <w:left w:val="nil"/>
              <w:bottom w:val="single" w:sz="4" w:space="0" w:color="C0C0C0"/>
              <w:right w:val="single" w:sz="4" w:space="0" w:color="000080"/>
            </w:tcBorders>
            <w:shd w:val="clear" w:color="auto" w:fill="auto"/>
            <w:noWrap/>
            <w:vAlign w:val="center"/>
            <w:hideMark/>
          </w:tcPr>
          <w:p w14:paraId="4046DC22"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16.233.597,31</w:t>
            </w:r>
          </w:p>
        </w:tc>
        <w:tc>
          <w:tcPr>
            <w:tcW w:w="1462" w:type="dxa"/>
            <w:tcBorders>
              <w:top w:val="nil"/>
              <w:left w:val="nil"/>
              <w:bottom w:val="single" w:sz="4" w:space="0" w:color="C0C0C0"/>
              <w:right w:val="single" w:sz="4" w:space="0" w:color="000080"/>
            </w:tcBorders>
            <w:shd w:val="clear" w:color="auto" w:fill="auto"/>
            <w:noWrap/>
            <w:vAlign w:val="center"/>
            <w:hideMark/>
          </w:tcPr>
          <w:p w14:paraId="7977D4F9"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20.544.034,21</w:t>
            </w:r>
          </w:p>
        </w:tc>
        <w:tc>
          <w:tcPr>
            <w:tcW w:w="1574" w:type="dxa"/>
            <w:tcBorders>
              <w:top w:val="nil"/>
              <w:left w:val="nil"/>
              <w:bottom w:val="single" w:sz="4" w:space="0" w:color="C0C0C0"/>
              <w:right w:val="single" w:sz="4" w:space="0" w:color="000000"/>
            </w:tcBorders>
            <w:shd w:val="clear" w:color="auto" w:fill="auto"/>
            <w:noWrap/>
            <w:vAlign w:val="center"/>
            <w:hideMark/>
          </w:tcPr>
          <w:p w14:paraId="05323F62"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126,6</w:t>
            </w:r>
          </w:p>
        </w:tc>
      </w:tr>
      <w:tr w:rsidR="00A920E6" w:rsidRPr="00A920E6" w14:paraId="64AEDEEF"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33D6317D"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321</w:t>
            </w:r>
          </w:p>
        </w:tc>
        <w:tc>
          <w:tcPr>
            <w:tcW w:w="5157" w:type="dxa"/>
            <w:tcBorders>
              <w:top w:val="nil"/>
              <w:left w:val="nil"/>
              <w:bottom w:val="single" w:sz="4" w:space="0" w:color="C0C0C0"/>
              <w:right w:val="single" w:sz="4" w:space="0" w:color="000080"/>
            </w:tcBorders>
            <w:shd w:val="clear" w:color="auto" w:fill="auto"/>
            <w:vAlign w:val="center"/>
            <w:hideMark/>
          </w:tcPr>
          <w:p w14:paraId="3B355B5B"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Naknade troškova zaposlenima (šifre 3211 do 3214)</w:t>
            </w:r>
          </w:p>
        </w:tc>
        <w:tc>
          <w:tcPr>
            <w:tcW w:w="2919" w:type="dxa"/>
            <w:tcBorders>
              <w:top w:val="nil"/>
              <w:left w:val="nil"/>
              <w:bottom w:val="single" w:sz="4" w:space="0" w:color="C0C0C0"/>
              <w:right w:val="single" w:sz="4" w:space="0" w:color="000080"/>
            </w:tcBorders>
            <w:shd w:val="clear" w:color="auto" w:fill="auto"/>
            <w:vAlign w:val="center"/>
            <w:hideMark/>
          </w:tcPr>
          <w:p w14:paraId="08FE8ED3"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321</w:t>
            </w:r>
          </w:p>
        </w:tc>
        <w:tc>
          <w:tcPr>
            <w:tcW w:w="1462" w:type="dxa"/>
            <w:tcBorders>
              <w:top w:val="nil"/>
              <w:left w:val="nil"/>
              <w:bottom w:val="single" w:sz="4" w:space="0" w:color="C0C0C0"/>
              <w:right w:val="single" w:sz="4" w:space="0" w:color="000080"/>
            </w:tcBorders>
            <w:shd w:val="clear" w:color="auto" w:fill="auto"/>
            <w:noWrap/>
            <w:vAlign w:val="center"/>
            <w:hideMark/>
          </w:tcPr>
          <w:p w14:paraId="28B9E32F"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1.344.446,86</w:t>
            </w:r>
          </w:p>
        </w:tc>
        <w:tc>
          <w:tcPr>
            <w:tcW w:w="1462" w:type="dxa"/>
            <w:tcBorders>
              <w:top w:val="nil"/>
              <w:left w:val="nil"/>
              <w:bottom w:val="single" w:sz="4" w:space="0" w:color="C0C0C0"/>
              <w:right w:val="single" w:sz="4" w:space="0" w:color="000080"/>
            </w:tcBorders>
            <w:shd w:val="clear" w:color="auto" w:fill="auto"/>
            <w:noWrap/>
            <w:vAlign w:val="center"/>
            <w:hideMark/>
          </w:tcPr>
          <w:p w14:paraId="7E4D5431"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1.430.147,58</w:t>
            </w:r>
          </w:p>
        </w:tc>
        <w:tc>
          <w:tcPr>
            <w:tcW w:w="1574" w:type="dxa"/>
            <w:tcBorders>
              <w:top w:val="nil"/>
              <w:left w:val="nil"/>
              <w:bottom w:val="single" w:sz="4" w:space="0" w:color="C0C0C0"/>
              <w:right w:val="single" w:sz="4" w:space="0" w:color="000000"/>
            </w:tcBorders>
            <w:shd w:val="clear" w:color="auto" w:fill="auto"/>
            <w:noWrap/>
            <w:vAlign w:val="center"/>
            <w:hideMark/>
          </w:tcPr>
          <w:p w14:paraId="77A3DEFF"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106,4</w:t>
            </w:r>
          </w:p>
        </w:tc>
      </w:tr>
      <w:tr w:rsidR="00A920E6" w:rsidRPr="00A920E6" w14:paraId="5C2B4A7A"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23AB723C"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3211</w:t>
            </w:r>
          </w:p>
        </w:tc>
        <w:tc>
          <w:tcPr>
            <w:tcW w:w="5157" w:type="dxa"/>
            <w:tcBorders>
              <w:top w:val="nil"/>
              <w:left w:val="nil"/>
              <w:bottom w:val="single" w:sz="4" w:space="0" w:color="C0C0C0"/>
              <w:right w:val="single" w:sz="4" w:space="0" w:color="000080"/>
            </w:tcBorders>
            <w:shd w:val="clear" w:color="auto" w:fill="auto"/>
            <w:vAlign w:val="center"/>
            <w:hideMark/>
          </w:tcPr>
          <w:p w14:paraId="034A217F"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Službena putovanja</w:t>
            </w:r>
          </w:p>
        </w:tc>
        <w:tc>
          <w:tcPr>
            <w:tcW w:w="2919" w:type="dxa"/>
            <w:tcBorders>
              <w:top w:val="nil"/>
              <w:left w:val="nil"/>
              <w:bottom w:val="single" w:sz="4" w:space="0" w:color="C0C0C0"/>
              <w:right w:val="single" w:sz="4" w:space="0" w:color="000080"/>
            </w:tcBorders>
            <w:shd w:val="clear" w:color="auto" w:fill="auto"/>
            <w:vAlign w:val="center"/>
            <w:hideMark/>
          </w:tcPr>
          <w:p w14:paraId="4DF3B35E"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3211</w:t>
            </w:r>
          </w:p>
        </w:tc>
        <w:tc>
          <w:tcPr>
            <w:tcW w:w="1462" w:type="dxa"/>
            <w:tcBorders>
              <w:top w:val="nil"/>
              <w:left w:val="nil"/>
              <w:bottom w:val="single" w:sz="4" w:space="0" w:color="C0C0C0"/>
              <w:right w:val="single" w:sz="4" w:space="0" w:color="000080"/>
            </w:tcBorders>
            <w:shd w:val="clear" w:color="auto" w:fill="auto"/>
            <w:noWrap/>
            <w:vAlign w:val="center"/>
            <w:hideMark/>
          </w:tcPr>
          <w:p w14:paraId="1934F9C4"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671.613,53</w:t>
            </w:r>
          </w:p>
        </w:tc>
        <w:tc>
          <w:tcPr>
            <w:tcW w:w="1462" w:type="dxa"/>
            <w:tcBorders>
              <w:top w:val="nil"/>
              <w:left w:val="nil"/>
              <w:bottom w:val="single" w:sz="4" w:space="0" w:color="C0C0C0"/>
              <w:right w:val="single" w:sz="4" w:space="0" w:color="000080"/>
            </w:tcBorders>
            <w:shd w:val="clear" w:color="auto" w:fill="auto"/>
            <w:noWrap/>
            <w:vAlign w:val="center"/>
            <w:hideMark/>
          </w:tcPr>
          <w:p w14:paraId="205E8BCD"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697.390,37</w:t>
            </w:r>
          </w:p>
        </w:tc>
        <w:tc>
          <w:tcPr>
            <w:tcW w:w="1574" w:type="dxa"/>
            <w:tcBorders>
              <w:top w:val="nil"/>
              <w:left w:val="nil"/>
              <w:bottom w:val="single" w:sz="4" w:space="0" w:color="C0C0C0"/>
              <w:right w:val="single" w:sz="4" w:space="0" w:color="000000"/>
            </w:tcBorders>
            <w:shd w:val="clear" w:color="auto" w:fill="auto"/>
            <w:noWrap/>
            <w:vAlign w:val="center"/>
            <w:hideMark/>
          </w:tcPr>
          <w:p w14:paraId="662608C5"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103,8</w:t>
            </w:r>
          </w:p>
        </w:tc>
      </w:tr>
      <w:tr w:rsidR="00A920E6" w:rsidRPr="00A920E6" w14:paraId="2608D2CA"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03D50D28"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3212</w:t>
            </w:r>
          </w:p>
        </w:tc>
        <w:tc>
          <w:tcPr>
            <w:tcW w:w="5157" w:type="dxa"/>
            <w:tcBorders>
              <w:top w:val="nil"/>
              <w:left w:val="nil"/>
              <w:bottom w:val="single" w:sz="4" w:space="0" w:color="C0C0C0"/>
              <w:right w:val="single" w:sz="4" w:space="0" w:color="000080"/>
            </w:tcBorders>
            <w:shd w:val="clear" w:color="auto" w:fill="auto"/>
            <w:vAlign w:val="center"/>
            <w:hideMark/>
          </w:tcPr>
          <w:p w14:paraId="1F665B0D"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Naknade za prijevoz, za rad na terenu i odvojeni život</w:t>
            </w:r>
          </w:p>
        </w:tc>
        <w:tc>
          <w:tcPr>
            <w:tcW w:w="2919" w:type="dxa"/>
            <w:tcBorders>
              <w:top w:val="nil"/>
              <w:left w:val="nil"/>
              <w:bottom w:val="single" w:sz="4" w:space="0" w:color="C0C0C0"/>
              <w:right w:val="single" w:sz="4" w:space="0" w:color="000080"/>
            </w:tcBorders>
            <w:shd w:val="clear" w:color="auto" w:fill="auto"/>
            <w:vAlign w:val="center"/>
            <w:hideMark/>
          </w:tcPr>
          <w:p w14:paraId="34BFB8F2"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3212</w:t>
            </w:r>
          </w:p>
        </w:tc>
        <w:tc>
          <w:tcPr>
            <w:tcW w:w="1462" w:type="dxa"/>
            <w:tcBorders>
              <w:top w:val="nil"/>
              <w:left w:val="nil"/>
              <w:bottom w:val="single" w:sz="4" w:space="0" w:color="C0C0C0"/>
              <w:right w:val="single" w:sz="4" w:space="0" w:color="000080"/>
            </w:tcBorders>
            <w:shd w:val="clear" w:color="auto" w:fill="auto"/>
            <w:noWrap/>
            <w:vAlign w:val="center"/>
            <w:hideMark/>
          </w:tcPr>
          <w:p w14:paraId="3A26F0BC"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611.064,49</w:t>
            </w:r>
          </w:p>
        </w:tc>
        <w:tc>
          <w:tcPr>
            <w:tcW w:w="1462" w:type="dxa"/>
            <w:tcBorders>
              <w:top w:val="nil"/>
              <w:left w:val="nil"/>
              <w:bottom w:val="single" w:sz="4" w:space="0" w:color="C0C0C0"/>
              <w:right w:val="single" w:sz="4" w:space="0" w:color="000080"/>
            </w:tcBorders>
            <w:shd w:val="clear" w:color="auto" w:fill="auto"/>
            <w:noWrap/>
            <w:vAlign w:val="center"/>
            <w:hideMark/>
          </w:tcPr>
          <w:p w14:paraId="02EE2774"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628.271,88</w:t>
            </w:r>
          </w:p>
        </w:tc>
        <w:tc>
          <w:tcPr>
            <w:tcW w:w="1574" w:type="dxa"/>
            <w:tcBorders>
              <w:top w:val="nil"/>
              <w:left w:val="nil"/>
              <w:bottom w:val="single" w:sz="4" w:space="0" w:color="C0C0C0"/>
              <w:right w:val="single" w:sz="4" w:space="0" w:color="000000"/>
            </w:tcBorders>
            <w:shd w:val="clear" w:color="auto" w:fill="auto"/>
            <w:noWrap/>
            <w:vAlign w:val="center"/>
            <w:hideMark/>
          </w:tcPr>
          <w:p w14:paraId="056C47BD"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102,8</w:t>
            </w:r>
          </w:p>
        </w:tc>
      </w:tr>
      <w:tr w:rsidR="00A920E6" w:rsidRPr="00A920E6" w14:paraId="363253CB"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3B8B5189"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3213</w:t>
            </w:r>
          </w:p>
        </w:tc>
        <w:tc>
          <w:tcPr>
            <w:tcW w:w="5157" w:type="dxa"/>
            <w:tcBorders>
              <w:top w:val="nil"/>
              <w:left w:val="nil"/>
              <w:bottom w:val="single" w:sz="4" w:space="0" w:color="C0C0C0"/>
              <w:right w:val="single" w:sz="4" w:space="0" w:color="000080"/>
            </w:tcBorders>
            <w:shd w:val="clear" w:color="auto" w:fill="auto"/>
            <w:vAlign w:val="center"/>
            <w:hideMark/>
          </w:tcPr>
          <w:p w14:paraId="6AC3CE45"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Stručno usavršavanje zaposlenika</w:t>
            </w:r>
          </w:p>
        </w:tc>
        <w:tc>
          <w:tcPr>
            <w:tcW w:w="2919" w:type="dxa"/>
            <w:tcBorders>
              <w:top w:val="nil"/>
              <w:left w:val="nil"/>
              <w:bottom w:val="single" w:sz="4" w:space="0" w:color="C0C0C0"/>
              <w:right w:val="single" w:sz="4" w:space="0" w:color="000080"/>
            </w:tcBorders>
            <w:shd w:val="clear" w:color="auto" w:fill="auto"/>
            <w:vAlign w:val="center"/>
            <w:hideMark/>
          </w:tcPr>
          <w:p w14:paraId="74CD18F6"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3213</w:t>
            </w:r>
          </w:p>
        </w:tc>
        <w:tc>
          <w:tcPr>
            <w:tcW w:w="1462" w:type="dxa"/>
            <w:tcBorders>
              <w:top w:val="nil"/>
              <w:left w:val="nil"/>
              <w:bottom w:val="single" w:sz="4" w:space="0" w:color="C0C0C0"/>
              <w:right w:val="single" w:sz="4" w:space="0" w:color="000080"/>
            </w:tcBorders>
            <w:shd w:val="clear" w:color="auto" w:fill="auto"/>
            <w:noWrap/>
            <w:vAlign w:val="center"/>
            <w:hideMark/>
          </w:tcPr>
          <w:p w14:paraId="7B4384C8"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60.692,36</w:t>
            </w:r>
          </w:p>
        </w:tc>
        <w:tc>
          <w:tcPr>
            <w:tcW w:w="1462" w:type="dxa"/>
            <w:tcBorders>
              <w:top w:val="nil"/>
              <w:left w:val="nil"/>
              <w:bottom w:val="single" w:sz="4" w:space="0" w:color="C0C0C0"/>
              <w:right w:val="single" w:sz="4" w:space="0" w:color="000080"/>
            </w:tcBorders>
            <w:shd w:val="clear" w:color="auto" w:fill="auto"/>
            <w:noWrap/>
            <w:vAlign w:val="center"/>
            <w:hideMark/>
          </w:tcPr>
          <w:p w14:paraId="6849F0C1"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86.932,05</w:t>
            </w:r>
          </w:p>
        </w:tc>
        <w:tc>
          <w:tcPr>
            <w:tcW w:w="1574" w:type="dxa"/>
            <w:tcBorders>
              <w:top w:val="nil"/>
              <w:left w:val="nil"/>
              <w:bottom w:val="single" w:sz="4" w:space="0" w:color="C0C0C0"/>
              <w:right w:val="single" w:sz="4" w:space="0" w:color="000000"/>
            </w:tcBorders>
            <w:shd w:val="clear" w:color="auto" w:fill="auto"/>
            <w:noWrap/>
            <w:vAlign w:val="center"/>
            <w:hideMark/>
          </w:tcPr>
          <w:p w14:paraId="77A5FEF1"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143,2</w:t>
            </w:r>
          </w:p>
        </w:tc>
      </w:tr>
      <w:tr w:rsidR="00A920E6" w:rsidRPr="00A920E6" w14:paraId="24798AEE"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43C5707B"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3214</w:t>
            </w:r>
          </w:p>
        </w:tc>
        <w:tc>
          <w:tcPr>
            <w:tcW w:w="5157" w:type="dxa"/>
            <w:tcBorders>
              <w:top w:val="nil"/>
              <w:left w:val="nil"/>
              <w:bottom w:val="single" w:sz="4" w:space="0" w:color="C0C0C0"/>
              <w:right w:val="single" w:sz="4" w:space="0" w:color="000080"/>
            </w:tcBorders>
            <w:shd w:val="clear" w:color="auto" w:fill="auto"/>
            <w:vAlign w:val="center"/>
            <w:hideMark/>
          </w:tcPr>
          <w:p w14:paraId="08790171"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Ostale naknade troškova zaposlenima</w:t>
            </w:r>
          </w:p>
        </w:tc>
        <w:tc>
          <w:tcPr>
            <w:tcW w:w="2919" w:type="dxa"/>
            <w:tcBorders>
              <w:top w:val="nil"/>
              <w:left w:val="nil"/>
              <w:bottom w:val="single" w:sz="4" w:space="0" w:color="C0C0C0"/>
              <w:right w:val="single" w:sz="4" w:space="0" w:color="000080"/>
            </w:tcBorders>
            <w:shd w:val="clear" w:color="auto" w:fill="auto"/>
            <w:vAlign w:val="center"/>
            <w:hideMark/>
          </w:tcPr>
          <w:p w14:paraId="25390EF7"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3214</w:t>
            </w:r>
          </w:p>
        </w:tc>
        <w:tc>
          <w:tcPr>
            <w:tcW w:w="1462" w:type="dxa"/>
            <w:tcBorders>
              <w:top w:val="nil"/>
              <w:left w:val="nil"/>
              <w:bottom w:val="single" w:sz="4" w:space="0" w:color="C0C0C0"/>
              <w:right w:val="single" w:sz="4" w:space="0" w:color="000080"/>
            </w:tcBorders>
            <w:shd w:val="clear" w:color="auto" w:fill="auto"/>
            <w:noWrap/>
            <w:vAlign w:val="center"/>
            <w:hideMark/>
          </w:tcPr>
          <w:p w14:paraId="18FFD514"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1.076,48</w:t>
            </w:r>
          </w:p>
        </w:tc>
        <w:tc>
          <w:tcPr>
            <w:tcW w:w="1462" w:type="dxa"/>
            <w:tcBorders>
              <w:top w:val="nil"/>
              <w:left w:val="nil"/>
              <w:bottom w:val="single" w:sz="4" w:space="0" w:color="C0C0C0"/>
              <w:right w:val="single" w:sz="4" w:space="0" w:color="000080"/>
            </w:tcBorders>
            <w:shd w:val="clear" w:color="auto" w:fill="auto"/>
            <w:noWrap/>
            <w:vAlign w:val="center"/>
            <w:hideMark/>
          </w:tcPr>
          <w:p w14:paraId="299E0E59"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17.553,28</w:t>
            </w:r>
          </w:p>
        </w:tc>
        <w:tc>
          <w:tcPr>
            <w:tcW w:w="1574" w:type="dxa"/>
            <w:tcBorders>
              <w:top w:val="nil"/>
              <w:left w:val="nil"/>
              <w:bottom w:val="single" w:sz="4" w:space="0" w:color="C0C0C0"/>
              <w:right w:val="single" w:sz="4" w:space="0" w:color="000000"/>
            </w:tcBorders>
            <w:shd w:val="clear" w:color="auto" w:fill="auto"/>
            <w:noWrap/>
            <w:vAlign w:val="center"/>
            <w:hideMark/>
          </w:tcPr>
          <w:p w14:paraId="2F993B02"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1.630,6</w:t>
            </w:r>
          </w:p>
        </w:tc>
      </w:tr>
      <w:tr w:rsidR="00A920E6" w:rsidRPr="00A920E6" w14:paraId="4277E6A0"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65D37FB6"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322</w:t>
            </w:r>
          </w:p>
        </w:tc>
        <w:tc>
          <w:tcPr>
            <w:tcW w:w="5157" w:type="dxa"/>
            <w:tcBorders>
              <w:top w:val="nil"/>
              <w:left w:val="nil"/>
              <w:bottom w:val="single" w:sz="4" w:space="0" w:color="C0C0C0"/>
              <w:right w:val="single" w:sz="4" w:space="0" w:color="000080"/>
            </w:tcBorders>
            <w:shd w:val="clear" w:color="auto" w:fill="auto"/>
            <w:vAlign w:val="center"/>
            <w:hideMark/>
          </w:tcPr>
          <w:p w14:paraId="7DD74C3E"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Rashodi za materijal i energiju (šifre 3221 do 3227)</w:t>
            </w:r>
          </w:p>
        </w:tc>
        <w:tc>
          <w:tcPr>
            <w:tcW w:w="2919" w:type="dxa"/>
            <w:tcBorders>
              <w:top w:val="nil"/>
              <w:left w:val="nil"/>
              <w:bottom w:val="single" w:sz="4" w:space="0" w:color="C0C0C0"/>
              <w:right w:val="single" w:sz="4" w:space="0" w:color="000080"/>
            </w:tcBorders>
            <w:shd w:val="clear" w:color="auto" w:fill="auto"/>
            <w:vAlign w:val="center"/>
            <w:hideMark/>
          </w:tcPr>
          <w:p w14:paraId="4794F2A4"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322</w:t>
            </w:r>
          </w:p>
        </w:tc>
        <w:tc>
          <w:tcPr>
            <w:tcW w:w="1462" w:type="dxa"/>
            <w:tcBorders>
              <w:top w:val="nil"/>
              <w:left w:val="nil"/>
              <w:bottom w:val="single" w:sz="4" w:space="0" w:color="C0C0C0"/>
              <w:right w:val="single" w:sz="4" w:space="0" w:color="000080"/>
            </w:tcBorders>
            <w:shd w:val="clear" w:color="auto" w:fill="auto"/>
            <w:noWrap/>
            <w:vAlign w:val="center"/>
            <w:hideMark/>
          </w:tcPr>
          <w:p w14:paraId="382D4AD4"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1.541.514,12</w:t>
            </w:r>
          </w:p>
        </w:tc>
        <w:tc>
          <w:tcPr>
            <w:tcW w:w="1462" w:type="dxa"/>
            <w:tcBorders>
              <w:top w:val="nil"/>
              <w:left w:val="nil"/>
              <w:bottom w:val="single" w:sz="4" w:space="0" w:color="C0C0C0"/>
              <w:right w:val="single" w:sz="4" w:space="0" w:color="000080"/>
            </w:tcBorders>
            <w:shd w:val="clear" w:color="auto" w:fill="auto"/>
            <w:noWrap/>
            <w:vAlign w:val="center"/>
            <w:hideMark/>
          </w:tcPr>
          <w:p w14:paraId="3C9C8B45"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3.992.013,67</w:t>
            </w:r>
          </w:p>
        </w:tc>
        <w:tc>
          <w:tcPr>
            <w:tcW w:w="1574" w:type="dxa"/>
            <w:tcBorders>
              <w:top w:val="nil"/>
              <w:left w:val="nil"/>
              <w:bottom w:val="single" w:sz="4" w:space="0" w:color="C0C0C0"/>
              <w:right w:val="single" w:sz="4" w:space="0" w:color="000000"/>
            </w:tcBorders>
            <w:shd w:val="clear" w:color="auto" w:fill="auto"/>
            <w:noWrap/>
            <w:vAlign w:val="center"/>
            <w:hideMark/>
          </w:tcPr>
          <w:p w14:paraId="5C97B141"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259,0</w:t>
            </w:r>
          </w:p>
        </w:tc>
      </w:tr>
      <w:tr w:rsidR="00A920E6" w:rsidRPr="00A920E6" w14:paraId="1C0C4DB2"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0CD76411"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3221</w:t>
            </w:r>
          </w:p>
        </w:tc>
        <w:tc>
          <w:tcPr>
            <w:tcW w:w="5157" w:type="dxa"/>
            <w:tcBorders>
              <w:top w:val="nil"/>
              <w:left w:val="nil"/>
              <w:bottom w:val="single" w:sz="4" w:space="0" w:color="C0C0C0"/>
              <w:right w:val="single" w:sz="4" w:space="0" w:color="000080"/>
            </w:tcBorders>
            <w:shd w:val="clear" w:color="auto" w:fill="auto"/>
            <w:vAlign w:val="center"/>
            <w:hideMark/>
          </w:tcPr>
          <w:p w14:paraId="3E268EC8"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Uredski materijal i ostali materijalni rashodi</w:t>
            </w:r>
          </w:p>
        </w:tc>
        <w:tc>
          <w:tcPr>
            <w:tcW w:w="2919" w:type="dxa"/>
            <w:tcBorders>
              <w:top w:val="nil"/>
              <w:left w:val="nil"/>
              <w:bottom w:val="single" w:sz="4" w:space="0" w:color="C0C0C0"/>
              <w:right w:val="single" w:sz="4" w:space="0" w:color="000080"/>
            </w:tcBorders>
            <w:shd w:val="clear" w:color="auto" w:fill="auto"/>
            <w:vAlign w:val="center"/>
            <w:hideMark/>
          </w:tcPr>
          <w:p w14:paraId="684067BE"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3221</w:t>
            </w:r>
          </w:p>
        </w:tc>
        <w:tc>
          <w:tcPr>
            <w:tcW w:w="1462" w:type="dxa"/>
            <w:tcBorders>
              <w:top w:val="nil"/>
              <w:left w:val="nil"/>
              <w:bottom w:val="single" w:sz="4" w:space="0" w:color="C0C0C0"/>
              <w:right w:val="single" w:sz="4" w:space="0" w:color="000080"/>
            </w:tcBorders>
            <w:shd w:val="clear" w:color="auto" w:fill="auto"/>
            <w:noWrap/>
            <w:vAlign w:val="center"/>
            <w:hideMark/>
          </w:tcPr>
          <w:p w14:paraId="09D8E31B"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141.480,87</w:t>
            </w:r>
          </w:p>
        </w:tc>
        <w:tc>
          <w:tcPr>
            <w:tcW w:w="1462" w:type="dxa"/>
            <w:tcBorders>
              <w:top w:val="nil"/>
              <w:left w:val="nil"/>
              <w:bottom w:val="single" w:sz="4" w:space="0" w:color="C0C0C0"/>
              <w:right w:val="single" w:sz="4" w:space="0" w:color="000080"/>
            </w:tcBorders>
            <w:shd w:val="clear" w:color="auto" w:fill="auto"/>
            <w:noWrap/>
            <w:vAlign w:val="center"/>
            <w:hideMark/>
          </w:tcPr>
          <w:p w14:paraId="608D38AE"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162.450,08</w:t>
            </w:r>
          </w:p>
        </w:tc>
        <w:tc>
          <w:tcPr>
            <w:tcW w:w="1574" w:type="dxa"/>
            <w:tcBorders>
              <w:top w:val="nil"/>
              <w:left w:val="nil"/>
              <w:bottom w:val="single" w:sz="4" w:space="0" w:color="C0C0C0"/>
              <w:right w:val="single" w:sz="4" w:space="0" w:color="000000"/>
            </w:tcBorders>
            <w:shd w:val="clear" w:color="auto" w:fill="auto"/>
            <w:noWrap/>
            <w:vAlign w:val="center"/>
            <w:hideMark/>
          </w:tcPr>
          <w:p w14:paraId="24C45C0E"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114,8</w:t>
            </w:r>
          </w:p>
        </w:tc>
      </w:tr>
      <w:tr w:rsidR="00A920E6" w:rsidRPr="00A920E6" w14:paraId="2BD3658F"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55254A2D"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3223</w:t>
            </w:r>
          </w:p>
        </w:tc>
        <w:tc>
          <w:tcPr>
            <w:tcW w:w="5157" w:type="dxa"/>
            <w:tcBorders>
              <w:top w:val="nil"/>
              <w:left w:val="nil"/>
              <w:bottom w:val="single" w:sz="4" w:space="0" w:color="C0C0C0"/>
              <w:right w:val="single" w:sz="4" w:space="0" w:color="000080"/>
            </w:tcBorders>
            <w:shd w:val="clear" w:color="auto" w:fill="auto"/>
            <w:vAlign w:val="center"/>
            <w:hideMark/>
          </w:tcPr>
          <w:p w14:paraId="129B886D" w14:textId="77777777" w:rsidR="00A920E6" w:rsidRPr="00A920E6" w:rsidRDefault="00A920E6" w:rsidP="00A920E6">
            <w:pPr>
              <w:rPr>
                <w:rFonts w:ascii="Arial" w:hAnsi="Arial" w:cs="Arial"/>
                <w:sz w:val="18"/>
                <w:szCs w:val="18"/>
              </w:rPr>
            </w:pPr>
            <w:r w:rsidRPr="00A920E6">
              <w:rPr>
                <w:rFonts w:ascii="Arial" w:hAnsi="Arial" w:cs="Arial"/>
                <w:sz w:val="18"/>
                <w:szCs w:val="18"/>
              </w:rPr>
              <w:t>Energija</w:t>
            </w:r>
          </w:p>
        </w:tc>
        <w:tc>
          <w:tcPr>
            <w:tcW w:w="2919" w:type="dxa"/>
            <w:tcBorders>
              <w:top w:val="nil"/>
              <w:left w:val="nil"/>
              <w:bottom w:val="single" w:sz="4" w:space="0" w:color="C0C0C0"/>
              <w:right w:val="single" w:sz="4" w:space="0" w:color="000080"/>
            </w:tcBorders>
            <w:shd w:val="clear" w:color="auto" w:fill="auto"/>
            <w:vAlign w:val="center"/>
            <w:hideMark/>
          </w:tcPr>
          <w:p w14:paraId="73CD7C89"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3223</w:t>
            </w:r>
          </w:p>
        </w:tc>
        <w:tc>
          <w:tcPr>
            <w:tcW w:w="1462" w:type="dxa"/>
            <w:tcBorders>
              <w:top w:val="nil"/>
              <w:left w:val="nil"/>
              <w:bottom w:val="single" w:sz="4" w:space="0" w:color="C0C0C0"/>
              <w:right w:val="single" w:sz="4" w:space="0" w:color="000080"/>
            </w:tcBorders>
            <w:shd w:val="clear" w:color="auto" w:fill="auto"/>
            <w:noWrap/>
            <w:vAlign w:val="center"/>
            <w:hideMark/>
          </w:tcPr>
          <w:p w14:paraId="2D2F83CA"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1.255.066,65</w:t>
            </w:r>
          </w:p>
        </w:tc>
        <w:tc>
          <w:tcPr>
            <w:tcW w:w="1462" w:type="dxa"/>
            <w:tcBorders>
              <w:top w:val="nil"/>
              <w:left w:val="nil"/>
              <w:bottom w:val="single" w:sz="4" w:space="0" w:color="C0C0C0"/>
              <w:right w:val="single" w:sz="4" w:space="0" w:color="000080"/>
            </w:tcBorders>
            <w:shd w:val="clear" w:color="auto" w:fill="auto"/>
            <w:noWrap/>
            <w:vAlign w:val="center"/>
            <w:hideMark/>
          </w:tcPr>
          <w:p w14:paraId="12DFA524"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1.144.926,95</w:t>
            </w:r>
          </w:p>
        </w:tc>
        <w:tc>
          <w:tcPr>
            <w:tcW w:w="1574" w:type="dxa"/>
            <w:tcBorders>
              <w:top w:val="nil"/>
              <w:left w:val="nil"/>
              <w:bottom w:val="single" w:sz="4" w:space="0" w:color="C0C0C0"/>
              <w:right w:val="single" w:sz="4" w:space="0" w:color="000000"/>
            </w:tcBorders>
            <w:shd w:val="clear" w:color="auto" w:fill="auto"/>
            <w:noWrap/>
            <w:vAlign w:val="center"/>
            <w:hideMark/>
          </w:tcPr>
          <w:p w14:paraId="28CF17DE"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91,2</w:t>
            </w:r>
          </w:p>
        </w:tc>
      </w:tr>
      <w:tr w:rsidR="00A920E6" w:rsidRPr="00A920E6" w14:paraId="68437401"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67EBE47B"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3224</w:t>
            </w:r>
          </w:p>
        </w:tc>
        <w:tc>
          <w:tcPr>
            <w:tcW w:w="5157" w:type="dxa"/>
            <w:tcBorders>
              <w:top w:val="nil"/>
              <w:left w:val="nil"/>
              <w:bottom w:val="single" w:sz="4" w:space="0" w:color="C0C0C0"/>
              <w:right w:val="single" w:sz="4" w:space="0" w:color="000080"/>
            </w:tcBorders>
            <w:shd w:val="clear" w:color="auto" w:fill="auto"/>
            <w:vAlign w:val="center"/>
            <w:hideMark/>
          </w:tcPr>
          <w:p w14:paraId="5FA9321A" w14:textId="77777777" w:rsidR="00A920E6" w:rsidRPr="00A920E6" w:rsidRDefault="00A920E6" w:rsidP="00A920E6">
            <w:pPr>
              <w:rPr>
                <w:rFonts w:ascii="Arial" w:hAnsi="Arial" w:cs="Arial"/>
                <w:sz w:val="18"/>
                <w:szCs w:val="18"/>
              </w:rPr>
            </w:pPr>
            <w:r w:rsidRPr="00A920E6">
              <w:rPr>
                <w:rFonts w:ascii="Arial" w:hAnsi="Arial" w:cs="Arial"/>
                <w:sz w:val="18"/>
                <w:szCs w:val="18"/>
              </w:rPr>
              <w:t>Materijal i dijelovi za tekuće i investicijsko održavanje</w:t>
            </w:r>
          </w:p>
        </w:tc>
        <w:tc>
          <w:tcPr>
            <w:tcW w:w="2919" w:type="dxa"/>
            <w:tcBorders>
              <w:top w:val="nil"/>
              <w:left w:val="nil"/>
              <w:bottom w:val="single" w:sz="4" w:space="0" w:color="C0C0C0"/>
              <w:right w:val="single" w:sz="4" w:space="0" w:color="000080"/>
            </w:tcBorders>
            <w:shd w:val="clear" w:color="auto" w:fill="auto"/>
            <w:vAlign w:val="center"/>
            <w:hideMark/>
          </w:tcPr>
          <w:p w14:paraId="78F3ED1A"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3224</w:t>
            </w:r>
          </w:p>
        </w:tc>
        <w:tc>
          <w:tcPr>
            <w:tcW w:w="1462" w:type="dxa"/>
            <w:tcBorders>
              <w:top w:val="nil"/>
              <w:left w:val="nil"/>
              <w:bottom w:val="single" w:sz="4" w:space="0" w:color="C0C0C0"/>
              <w:right w:val="single" w:sz="4" w:space="0" w:color="000080"/>
            </w:tcBorders>
            <w:shd w:val="clear" w:color="auto" w:fill="auto"/>
            <w:noWrap/>
            <w:vAlign w:val="center"/>
            <w:hideMark/>
          </w:tcPr>
          <w:p w14:paraId="40DC0099"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87.153,92</w:t>
            </w:r>
          </w:p>
        </w:tc>
        <w:tc>
          <w:tcPr>
            <w:tcW w:w="1462" w:type="dxa"/>
            <w:tcBorders>
              <w:top w:val="nil"/>
              <w:left w:val="nil"/>
              <w:bottom w:val="single" w:sz="4" w:space="0" w:color="C0C0C0"/>
              <w:right w:val="single" w:sz="4" w:space="0" w:color="000080"/>
            </w:tcBorders>
            <w:shd w:val="clear" w:color="auto" w:fill="auto"/>
            <w:noWrap/>
            <w:vAlign w:val="center"/>
            <w:hideMark/>
          </w:tcPr>
          <w:p w14:paraId="530FB4B0"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68.361,64</w:t>
            </w:r>
          </w:p>
        </w:tc>
        <w:tc>
          <w:tcPr>
            <w:tcW w:w="1574" w:type="dxa"/>
            <w:tcBorders>
              <w:top w:val="nil"/>
              <w:left w:val="nil"/>
              <w:bottom w:val="single" w:sz="4" w:space="0" w:color="C0C0C0"/>
              <w:right w:val="single" w:sz="4" w:space="0" w:color="000000"/>
            </w:tcBorders>
            <w:shd w:val="clear" w:color="auto" w:fill="auto"/>
            <w:noWrap/>
            <w:vAlign w:val="center"/>
            <w:hideMark/>
          </w:tcPr>
          <w:p w14:paraId="1C93AC3D"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78,4</w:t>
            </w:r>
          </w:p>
        </w:tc>
      </w:tr>
      <w:tr w:rsidR="00A920E6" w:rsidRPr="00A920E6" w14:paraId="4BD9FCED"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7EC62E04"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3225</w:t>
            </w:r>
          </w:p>
        </w:tc>
        <w:tc>
          <w:tcPr>
            <w:tcW w:w="5157" w:type="dxa"/>
            <w:tcBorders>
              <w:top w:val="nil"/>
              <w:left w:val="nil"/>
              <w:bottom w:val="single" w:sz="4" w:space="0" w:color="C0C0C0"/>
              <w:right w:val="single" w:sz="4" w:space="0" w:color="000080"/>
            </w:tcBorders>
            <w:shd w:val="clear" w:color="auto" w:fill="auto"/>
            <w:vAlign w:val="center"/>
            <w:hideMark/>
          </w:tcPr>
          <w:p w14:paraId="13E03FA0" w14:textId="77777777" w:rsidR="00A920E6" w:rsidRPr="00A920E6" w:rsidRDefault="00A920E6" w:rsidP="00A920E6">
            <w:pPr>
              <w:rPr>
                <w:rFonts w:ascii="Arial" w:hAnsi="Arial" w:cs="Arial"/>
                <w:sz w:val="18"/>
                <w:szCs w:val="18"/>
              </w:rPr>
            </w:pPr>
            <w:r w:rsidRPr="00A920E6">
              <w:rPr>
                <w:rFonts w:ascii="Arial" w:hAnsi="Arial" w:cs="Arial"/>
                <w:sz w:val="18"/>
                <w:szCs w:val="18"/>
              </w:rPr>
              <w:t xml:space="preserve">Sitni inventar i </w:t>
            </w:r>
            <w:proofErr w:type="spellStart"/>
            <w:r w:rsidRPr="00A920E6">
              <w:rPr>
                <w:rFonts w:ascii="Arial" w:hAnsi="Arial" w:cs="Arial"/>
                <w:sz w:val="18"/>
                <w:szCs w:val="18"/>
              </w:rPr>
              <w:t>autogume</w:t>
            </w:r>
            <w:proofErr w:type="spellEnd"/>
          </w:p>
        </w:tc>
        <w:tc>
          <w:tcPr>
            <w:tcW w:w="2919" w:type="dxa"/>
            <w:tcBorders>
              <w:top w:val="nil"/>
              <w:left w:val="nil"/>
              <w:bottom w:val="single" w:sz="4" w:space="0" w:color="C0C0C0"/>
              <w:right w:val="single" w:sz="4" w:space="0" w:color="000080"/>
            </w:tcBorders>
            <w:shd w:val="clear" w:color="auto" w:fill="auto"/>
            <w:vAlign w:val="center"/>
            <w:hideMark/>
          </w:tcPr>
          <w:p w14:paraId="1CF58D75"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3225</w:t>
            </w:r>
          </w:p>
        </w:tc>
        <w:tc>
          <w:tcPr>
            <w:tcW w:w="1462" w:type="dxa"/>
            <w:tcBorders>
              <w:top w:val="nil"/>
              <w:left w:val="nil"/>
              <w:bottom w:val="single" w:sz="4" w:space="0" w:color="C0C0C0"/>
              <w:right w:val="single" w:sz="4" w:space="0" w:color="000080"/>
            </w:tcBorders>
            <w:shd w:val="clear" w:color="auto" w:fill="auto"/>
            <w:noWrap/>
            <w:vAlign w:val="center"/>
            <w:hideMark/>
          </w:tcPr>
          <w:p w14:paraId="13407B0D"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56.317,53</w:t>
            </w:r>
          </w:p>
        </w:tc>
        <w:tc>
          <w:tcPr>
            <w:tcW w:w="1462" w:type="dxa"/>
            <w:tcBorders>
              <w:top w:val="nil"/>
              <w:left w:val="nil"/>
              <w:bottom w:val="single" w:sz="4" w:space="0" w:color="C0C0C0"/>
              <w:right w:val="single" w:sz="4" w:space="0" w:color="000080"/>
            </w:tcBorders>
            <w:shd w:val="clear" w:color="auto" w:fill="auto"/>
            <w:noWrap/>
            <w:vAlign w:val="center"/>
            <w:hideMark/>
          </w:tcPr>
          <w:p w14:paraId="2BBD6862"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40.004,46</w:t>
            </w:r>
          </w:p>
        </w:tc>
        <w:tc>
          <w:tcPr>
            <w:tcW w:w="1574" w:type="dxa"/>
            <w:tcBorders>
              <w:top w:val="nil"/>
              <w:left w:val="nil"/>
              <w:bottom w:val="single" w:sz="4" w:space="0" w:color="C0C0C0"/>
              <w:right w:val="single" w:sz="4" w:space="0" w:color="000000"/>
            </w:tcBorders>
            <w:shd w:val="clear" w:color="auto" w:fill="auto"/>
            <w:noWrap/>
            <w:vAlign w:val="center"/>
            <w:hideMark/>
          </w:tcPr>
          <w:p w14:paraId="1C5A3618"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71,0</w:t>
            </w:r>
          </w:p>
        </w:tc>
      </w:tr>
      <w:tr w:rsidR="00A920E6" w:rsidRPr="00A920E6" w14:paraId="58AA6404"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43CBA754"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lastRenderedPageBreak/>
              <w:t>3227</w:t>
            </w:r>
          </w:p>
        </w:tc>
        <w:tc>
          <w:tcPr>
            <w:tcW w:w="5157" w:type="dxa"/>
            <w:tcBorders>
              <w:top w:val="nil"/>
              <w:left w:val="nil"/>
              <w:bottom w:val="single" w:sz="4" w:space="0" w:color="C0C0C0"/>
              <w:right w:val="single" w:sz="4" w:space="0" w:color="000080"/>
            </w:tcBorders>
            <w:shd w:val="clear" w:color="auto" w:fill="auto"/>
            <w:vAlign w:val="center"/>
            <w:hideMark/>
          </w:tcPr>
          <w:p w14:paraId="76DF0DF1" w14:textId="77777777" w:rsidR="00A920E6" w:rsidRPr="00A920E6" w:rsidRDefault="00A920E6" w:rsidP="00A920E6">
            <w:pPr>
              <w:rPr>
                <w:rFonts w:ascii="Arial" w:hAnsi="Arial" w:cs="Arial"/>
                <w:sz w:val="18"/>
                <w:szCs w:val="18"/>
              </w:rPr>
            </w:pPr>
            <w:r w:rsidRPr="00A920E6">
              <w:rPr>
                <w:rFonts w:ascii="Arial" w:hAnsi="Arial" w:cs="Arial"/>
                <w:sz w:val="18"/>
                <w:szCs w:val="18"/>
              </w:rPr>
              <w:t>Službena, radna i zaštitna odjeća i obuća</w:t>
            </w:r>
          </w:p>
        </w:tc>
        <w:tc>
          <w:tcPr>
            <w:tcW w:w="2919" w:type="dxa"/>
            <w:tcBorders>
              <w:top w:val="nil"/>
              <w:left w:val="nil"/>
              <w:bottom w:val="single" w:sz="4" w:space="0" w:color="C0C0C0"/>
              <w:right w:val="single" w:sz="4" w:space="0" w:color="000080"/>
            </w:tcBorders>
            <w:shd w:val="clear" w:color="auto" w:fill="auto"/>
            <w:vAlign w:val="center"/>
            <w:hideMark/>
          </w:tcPr>
          <w:p w14:paraId="6626BAE1"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3227</w:t>
            </w:r>
          </w:p>
        </w:tc>
        <w:tc>
          <w:tcPr>
            <w:tcW w:w="1462" w:type="dxa"/>
            <w:tcBorders>
              <w:top w:val="nil"/>
              <w:left w:val="nil"/>
              <w:bottom w:val="single" w:sz="4" w:space="0" w:color="C0C0C0"/>
              <w:right w:val="single" w:sz="4" w:space="0" w:color="000080"/>
            </w:tcBorders>
            <w:shd w:val="clear" w:color="auto" w:fill="auto"/>
            <w:noWrap/>
            <w:vAlign w:val="center"/>
            <w:hideMark/>
          </w:tcPr>
          <w:p w14:paraId="76DC2BF7"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1.495,15</w:t>
            </w:r>
          </w:p>
        </w:tc>
        <w:tc>
          <w:tcPr>
            <w:tcW w:w="1462" w:type="dxa"/>
            <w:tcBorders>
              <w:top w:val="nil"/>
              <w:left w:val="nil"/>
              <w:bottom w:val="single" w:sz="4" w:space="0" w:color="C0C0C0"/>
              <w:right w:val="single" w:sz="4" w:space="0" w:color="000080"/>
            </w:tcBorders>
            <w:shd w:val="clear" w:color="auto" w:fill="auto"/>
            <w:noWrap/>
            <w:vAlign w:val="center"/>
            <w:hideMark/>
          </w:tcPr>
          <w:p w14:paraId="778FA7F3"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2.576.270,54</w:t>
            </w:r>
          </w:p>
        </w:tc>
        <w:tc>
          <w:tcPr>
            <w:tcW w:w="1574" w:type="dxa"/>
            <w:tcBorders>
              <w:top w:val="nil"/>
              <w:left w:val="nil"/>
              <w:bottom w:val="single" w:sz="4" w:space="0" w:color="C0C0C0"/>
              <w:right w:val="single" w:sz="4" w:space="0" w:color="000000"/>
            </w:tcBorders>
            <w:shd w:val="clear" w:color="auto" w:fill="auto"/>
            <w:noWrap/>
            <w:vAlign w:val="center"/>
            <w:hideMark/>
          </w:tcPr>
          <w:p w14:paraId="5D2B13FB"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&gt;&gt;100</w:t>
            </w:r>
          </w:p>
        </w:tc>
      </w:tr>
      <w:tr w:rsidR="00A920E6" w:rsidRPr="00A920E6" w14:paraId="0F1D1183"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1BCBD382"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323</w:t>
            </w:r>
          </w:p>
        </w:tc>
        <w:tc>
          <w:tcPr>
            <w:tcW w:w="5157" w:type="dxa"/>
            <w:tcBorders>
              <w:top w:val="nil"/>
              <w:left w:val="nil"/>
              <w:bottom w:val="single" w:sz="4" w:space="0" w:color="C0C0C0"/>
              <w:right w:val="single" w:sz="4" w:space="0" w:color="000080"/>
            </w:tcBorders>
            <w:shd w:val="clear" w:color="auto" w:fill="auto"/>
            <w:vAlign w:val="center"/>
            <w:hideMark/>
          </w:tcPr>
          <w:p w14:paraId="757DE4D6" w14:textId="77777777" w:rsidR="00A920E6" w:rsidRPr="00A920E6" w:rsidRDefault="00A920E6" w:rsidP="00A920E6">
            <w:pPr>
              <w:rPr>
                <w:rFonts w:ascii="Arial" w:hAnsi="Arial" w:cs="Arial"/>
                <w:sz w:val="18"/>
                <w:szCs w:val="18"/>
              </w:rPr>
            </w:pPr>
            <w:r w:rsidRPr="00A920E6">
              <w:rPr>
                <w:rFonts w:ascii="Arial" w:hAnsi="Arial" w:cs="Arial"/>
                <w:sz w:val="18"/>
                <w:szCs w:val="18"/>
              </w:rPr>
              <w:t>Rashodi za usluge (šifre 3231 do 3239)</w:t>
            </w:r>
          </w:p>
        </w:tc>
        <w:tc>
          <w:tcPr>
            <w:tcW w:w="2919" w:type="dxa"/>
            <w:tcBorders>
              <w:top w:val="nil"/>
              <w:left w:val="nil"/>
              <w:bottom w:val="single" w:sz="4" w:space="0" w:color="C0C0C0"/>
              <w:right w:val="single" w:sz="4" w:space="0" w:color="000080"/>
            </w:tcBorders>
            <w:shd w:val="clear" w:color="auto" w:fill="auto"/>
            <w:vAlign w:val="center"/>
            <w:hideMark/>
          </w:tcPr>
          <w:p w14:paraId="79C0D1EF"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323</w:t>
            </w:r>
          </w:p>
        </w:tc>
        <w:tc>
          <w:tcPr>
            <w:tcW w:w="1462" w:type="dxa"/>
            <w:tcBorders>
              <w:top w:val="nil"/>
              <w:left w:val="nil"/>
              <w:bottom w:val="single" w:sz="4" w:space="0" w:color="C0C0C0"/>
              <w:right w:val="single" w:sz="4" w:space="0" w:color="000080"/>
            </w:tcBorders>
            <w:shd w:val="clear" w:color="auto" w:fill="auto"/>
            <w:noWrap/>
            <w:vAlign w:val="center"/>
            <w:hideMark/>
          </w:tcPr>
          <w:p w14:paraId="7542C91D"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10.846.278,01</w:t>
            </w:r>
          </w:p>
        </w:tc>
        <w:tc>
          <w:tcPr>
            <w:tcW w:w="1462" w:type="dxa"/>
            <w:tcBorders>
              <w:top w:val="nil"/>
              <w:left w:val="nil"/>
              <w:bottom w:val="single" w:sz="4" w:space="0" w:color="C0C0C0"/>
              <w:right w:val="single" w:sz="4" w:space="0" w:color="000080"/>
            </w:tcBorders>
            <w:shd w:val="clear" w:color="auto" w:fill="auto"/>
            <w:noWrap/>
            <w:vAlign w:val="center"/>
            <w:hideMark/>
          </w:tcPr>
          <w:p w14:paraId="1E2A5127"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12.450.763,87</w:t>
            </w:r>
          </w:p>
        </w:tc>
        <w:tc>
          <w:tcPr>
            <w:tcW w:w="1574" w:type="dxa"/>
            <w:tcBorders>
              <w:top w:val="nil"/>
              <w:left w:val="nil"/>
              <w:bottom w:val="single" w:sz="4" w:space="0" w:color="C0C0C0"/>
              <w:right w:val="single" w:sz="4" w:space="0" w:color="000000"/>
            </w:tcBorders>
            <w:shd w:val="clear" w:color="auto" w:fill="auto"/>
            <w:noWrap/>
            <w:vAlign w:val="center"/>
            <w:hideMark/>
          </w:tcPr>
          <w:p w14:paraId="58780322"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114,8</w:t>
            </w:r>
          </w:p>
        </w:tc>
      </w:tr>
      <w:tr w:rsidR="00A920E6" w:rsidRPr="00A920E6" w14:paraId="0A7407E5"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6935801E"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3231</w:t>
            </w:r>
          </w:p>
        </w:tc>
        <w:tc>
          <w:tcPr>
            <w:tcW w:w="5157" w:type="dxa"/>
            <w:tcBorders>
              <w:top w:val="nil"/>
              <w:left w:val="nil"/>
              <w:bottom w:val="single" w:sz="4" w:space="0" w:color="C0C0C0"/>
              <w:right w:val="single" w:sz="4" w:space="0" w:color="000080"/>
            </w:tcBorders>
            <w:shd w:val="clear" w:color="auto" w:fill="auto"/>
            <w:vAlign w:val="center"/>
            <w:hideMark/>
          </w:tcPr>
          <w:p w14:paraId="4480DB36" w14:textId="77777777" w:rsidR="00A920E6" w:rsidRPr="00A920E6" w:rsidRDefault="00A920E6" w:rsidP="00A920E6">
            <w:pPr>
              <w:rPr>
                <w:rFonts w:ascii="Arial" w:hAnsi="Arial" w:cs="Arial"/>
                <w:sz w:val="18"/>
                <w:szCs w:val="18"/>
              </w:rPr>
            </w:pPr>
            <w:r w:rsidRPr="00A920E6">
              <w:rPr>
                <w:rFonts w:ascii="Arial" w:hAnsi="Arial" w:cs="Arial"/>
                <w:sz w:val="18"/>
                <w:szCs w:val="18"/>
              </w:rPr>
              <w:t>Usluge telefona, interneta, pošte i prijevoza</w:t>
            </w:r>
          </w:p>
        </w:tc>
        <w:tc>
          <w:tcPr>
            <w:tcW w:w="2919" w:type="dxa"/>
            <w:tcBorders>
              <w:top w:val="nil"/>
              <w:left w:val="nil"/>
              <w:bottom w:val="single" w:sz="4" w:space="0" w:color="C0C0C0"/>
              <w:right w:val="single" w:sz="4" w:space="0" w:color="000080"/>
            </w:tcBorders>
            <w:shd w:val="clear" w:color="auto" w:fill="auto"/>
            <w:vAlign w:val="center"/>
            <w:hideMark/>
          </w:tcPr>
          <w:p w14:paraId="1E667811"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3231</w:t>
            </w:r>
          </w:p>
        </w:tc>
        <w:tc>
          <w:tcPr>
            <w:tcW w:w="1462" w:type="dxa"/>
            <w:tcBorders>
              <w:top w:val="nil"/>
              <w:left w:val="nil"/>
              <w:bottom w:val="single" w:sz="4" w:space="0" w:color="C0C0C0"/>
              <w:right w:val="single" w:sz="4" w:space="0" w:color="000080"/>
            </w:tcBorders>
            <w:shd w:val="clear" w:color="auto" w:fill="auto"/>
            <w:noWrap/>
            <w:vAlign w:val="center"/>
            <w:hideMark/>
          </w:tcPr>
          <w:p w14:paraId="5C18E8A9"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968.244,29</w:t>
            </w:r>
          </w:p>
        </w:tc>
        <w:tc>
          <w:tcPr>
            <w:tcW w:w="1462" w:type="dxa"/>
            <w:tcBorders>
              <w:top w:val="nil"/>
              <w:left w:val="nil"/>
              <w:bottom w:val="single" w:sz="4" w:space="0" w:color="C0C0C0"/>
              <w:right w:val="single" w:sz="4" w:space="0" w:color="000080"/>
            </w:tcBorders>
            <w:shd w:val="clear" w:color="auto" w:fill="auto"/>
            <w:noWrap/>
            <w:vAlign w:val="center"/>
            <w:hideMark/>
          </w:tcPr>
          <w:p w14:paraId="42A275FC"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1.094.298,89</w:t>
            </w:r>
          </w:p>
        </w:tc>
        <w:tc>
          <w:tcPr>
            <w:tcW w:w="1574" w:type="dxa"/>
            <w:tcBorders>
              <w:top w:val="nil"/>
              <w:left w:val="nil"/>
              <w:bottom w:val="single" w:sz="4" w:space="0" w:color="C0C0C0"/>
              <w:right w:val="single" w:sz="4" w:space="0" w:color="000000"/>
            </w:tcBorders>
            <w:shd w:val="clear" w:color="auto" w:fill="auto"/>
            <w:noWrap/>
            <w:vAlign w:val="center"/>
            <w:hideMark/>
          </w:tcPr>
          <w:p w14:paraId="6D950F2C"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113,0</w:t>
            </w:r>
          </w:p>
        </w:tc>
      </w:tr>
      <w:tr w:rsidR="00A920E6" w:rsidRPr="00A920E6" w14:paraId="614BEFE1"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205F87E0"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3232</w:t>
            </w:r>
          </w:p>
        </w:tc>
        <w:tc>
          <w:tcPr>
            <w:tcW w:w="5157" w:type="dxa"/>
            <w:tcBorders>
              <w:top w:val="nil"/>
              <w:left w:val="nil"/>
              <w:bottom w:val="single" w:sz="4" w:space="0" w:color="C0C0C0"/>
              <w:right w:val="single" w:sz="4" w:space="0" w:color="000080"/>
            </w:tcBorders>
            <w:shd w:val="clear" w:color="auto" w:fill="auto"/>
            <w:vAlign w:val="center"/>
            <w:hideMark/>
          </w:tcPr>
          <w:p w14:paraId="0BEC723F" w14:textId="77777777" w:rsidR="00A920E6" w:rsidRPr="00A920E6" w:rsidRDefault="00A920E6" w:rsidP="00A920E6">
            <w:pPr>
              <w:rPr>
                <w:rFonts w:ascii="Arial" w:hAnsi="Arial" w:cs="Arial"/>
                <w:sz w:val="18"/>
                <w:szCs w:val="18"/>
              </w:rPr>
            </w:pPr>
            <w:r w:rsidRPr="00A920E6">
              <w:rPr>
                <w:rFonts w:ascii="Arial" w:hAnsi="Arial" w:cs="Arial"/>
                <w:sz w:val="18"/>
                <w:szCs w:val="18"/>
              </w:rPr>
              <w:t>Usluge tekućeg i investicijskog održavanja</w:t>
            </w:r>
          </w:p>
        </w:tc>
        <w:tc>
          <w:tcPr>
            <w:tcW w:w="2919" w:type="dxa"/>
            <w:tcBorders>
              <w:top w:val="nil"/>
              <w:left w:val="nil"/>
              <w:bottom w:val="single" w:sz="4" w:space="0" w:color="C0C0C0"/>
              <w:right w:val="single" w:sz="4" w:space="0" w:color="000080"/>
            </w:tcBorders>
            <w:shd w:val="clear" w:color="auto" w:fill="auto"/>
            <w:vAlign w:val="center"/>
            <w:hideMark/>
          </w:tcPr>
          <w:p w14:paraId="08E79483"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3232</w:t>
            </w:r>
          </w:p>
        </w:tc>
        <w:tc>
          <w:tcPr>
            <w:tcW w:w="1462" w:type="dxa"/>
            <w:tcBorders>
              <w:top w:val="nil"/>
              <w:left w:val="nil"/>
              <w:bottom w:val="single" w:sz="4" w:space="0" w:color="C0C0C0"/>
              <w:right w:val="single" w:sz="4" w:space="0" w:color="000080"/>
            </w:tcBorders>
            <w:shd w:val="clear" w:color="auto" w:fill="auto"/>
            <w:noWrap/>
            <w:vAlign w:val="center"/>
            <w:hideMark/>
          </w:tcPr>
          <w:p w14:paraId="37390CDA"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3.758.459,64</w:t>
            </w:r>
          </w:p>
        </w:tc>
        <w:tc>
          <w:tcPr>
            <w:tcW w:w="1462" w:type="dxa"/>
            <w:tcBorders>
              <w:top w:val="nil"/>
              <w:left w:val="nil"/>
              <w:bottom w:val="single" w:sz="4" w:space="0" w:color="C0C0C0"/>
              <w:right w:val="single" w:sz="4" w:space="0" w:color="000080"/>
            </w:tcBorders>
            <w:shd w:val="clear" w:color="auto" w:fill="auto"/>
            <w:noWrap/>
            <w:vAlign w:val="center"/>
            <w:hideMark/>
          </w:tcPr>
          <w:p w14:paraId="22AEE7EE"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4.454.480,19</w:t>
            </w:r>
          </w:p>
        </w:tc>
        <w:tc>
          <w:tcPr>
            <w:tcW w:w="1574" w:type="dxa"/>
            <w:tcBorders>
              <w:top w:val="nil"/>
              <w:left w:val="nil"/>
              <w:bottom w:val="single" w:sz="4" w:space="0" w:color="C0C0C0"/>
              <w:right w:val="single" w:sz="4" w:space="0" w:color="000000"/>
            </w:tcBorders>
            <w:shd w:val="clear" w:color="auto" w:fill="auto"/>
            <w:noWrap/>
            <w:vAlign w:val="center"/>
            <w:hideMark/>
          </w:tcPr>
          <w:p w14:paraId="2B045C0C"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118,5</w:t>
            </w:r>
          </w:p>
        </w:tc>
      </w:tr>
      <w:tr w:rsidR="00A920E6" w:rsidRPr="00A920E6" w14:paraId="494009CF"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393E7B6E"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3233</w:t>
            </w:r>
          </w:p>
        </w:tc>
        <w:tc>
          <w:tcPr>
            <w:tcW w:w="5157" w:type="dxa"/>
            <w:tcBorders>
              <w:top w:val="nil"/>
              <w:left w:val="nil"/>
              <w:bottom w:val="single" w:sz="4" w:space="0" w:color="C0C0C0"/>
              <w:right w:val="single" w:sz="4" w:space="0" w:color="000080"/>
            </w:tcBorders>
            <w:shd w:val="clear" w:color="auto" w:fill="auto"/>
            <w:vAlign w:val="center"/>
            <w:hideMark/>
          </w:tcPr>
          <w:p w14:paraId="2D120BFF" w14:textId="77777777" w:rsidR="00A920E6" w:rsidRPr="00A920E6" w:rsidRDefault="00A920E6" w:rsidP="00A920E6">
            <w:pPr>
              <w:rPr>
                <w:rFonts w:ascii="Arial" w:hAnsi="Arial" w:cs="Arial"/>
                <w:sz w:val="18"/>
                <w:szCs w:val="18"/>
              </w:rPr>
            </w:pPr>
            <w:r w:rsidRPr="00A920E6">
              <w:rPr>
                <w:rFonts w:ascii="Arial" w:hAnsi="Arial" w:cs="Arial"/>
                <w:sz w:val="18"/>
                <w:szCs w:val="18"/>
              </w:rPr>
              <w:t>Usluge promidžbe i informiranja</w:t>
            </w:r>
          </w:p>
        </w:tc>
        <w:tc>
          <w:tcPr>
            <w:tcW w:w="2919" w:type="dxa"/>
            <w:tcBorders>
              <w:top w:val="nil"/>
              <w:left w:val="nil"/>
              <w:bottom w:val="single" w:sz="4" w:space="0" w:color="C0C0C0"/>
              <w:right w:val="single" w:sz="4" w:space="0" w:color="000080"/>
            </w:tcBorders>
            <w:shd w:val="clear" w:color="auto" w:fill="auto"/>
            <w:vAlign w:val="center"/>
            <w:hideMark/>
          </w:tcPr>
          <w:p w14:paraId="2862F1BB"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3233</w:t>
            </w:r>
          </w:p>
        </w:tc>
        <w:tc>
          <w:tcPr>
            <w:tcW w:w="1462" w:type="dxa"/>
            <w:tcBorders>
              <w:top w:val="nil"/>
              <w:left w:val="nil"/>
              <w:bottom w:val="single" w:sz="4" w:space="0" w:color="C0C0C0"/>
              <w:right w:val="single" w:sz="4" w:space="0" w:color="000080"/>
            </w:tcBorders>
            <w:shd w:val="clear" w:color="auto" w:fill="auto"/>
            <w:noWrap/>
            <w:vAlign w:val="center"/>
            <w:hideMark/>
          </w:tcPr>
          <w:p w14:paraId="76E06055"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392.325,45</w:t>
            </w:r>
          </w:p>
        </w:tc>
        <w:tc>
          <w:tcPr>
            <w:tcW w:w="1462" w:type="dxa"/>
            <w:tcBorders>
              <w:top w:val="nil"/>
              <w:left w:val="nil"/>
              <w:bottom w:val="single" w:sz="4" w:space="0" w:color="C0C0C0"/>
              <w:right w:val="single" w:sz="4" w:space="0" w:color="000080"/>
            </w:tcBorders>
            <w:shd w:val="clear" w:color="auto" w:fill="auto"/>
            <w:noWrap/>
            <w:vAlign w:val="center"/>
            <w:hideMark/>
          </w:tcPr>
          <w:p w14:paraId="18DC8F13"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296.047,74</w:t>
            </w:r>
          </w:p>
        </w:tc>
        <w:tc>
          <w:tcPr>
            <w:tcW w:w="1574" w:type="dxa"/>
            <w:tcBorders>
              <w:top w:val="nil"/>
              <w:left w:val="nil"/>
              <w:bottom w:val="single" w:sz="4" w:space="0" w:color="C0C0C0"/>
              <w:right w:val="single" w:sz="4" w:space="0" w:color="000000"/>
            </w:tcBorders>
            <w:shd w:val="clear" w:color="auto" w:fill="auto"/>
            <w:noWrap/>
            <w:vAlign w:val="center"/>
            <w:hideMark/>
          </w:tcPr>
          <w:p w14:paraId="6069787C"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75,5</w:t>
            </w:r>
          </w:p>
        </w:tc>
      </w:tr>
      <w:tr w:rsidR="00A920E6" w:rsidRPr="00A920E6" w14:paraId="5D80733B"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38C51F18"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3234</w:t>
            </w:r>
          </w:p>
        </w:tc>
        <w:tc>
          <w:tcPr>
            <w:tcW w:w="5157" w:type="dxa"/>
            <w:tcBorders>
              <w:top w:val="nil"/>
              <w:left w:val="nil"/>
              <w:bottom w:val="single" w:sz="4" w:space="0" w:color="C0C0C0"/>
              <w:right w:val="single" w:sz="4" w:space="0" w:color="000080"/>
            </w:tcBorders>
            <w:shd w:val="clear" w:color="auto" w:fill="auto"/>
            <w:vAlign w:val="center"/>
            <w:hideMark/>
          </w:tcPr>
          <w:p w14:paraId="7D46ADD6" w14:textId="77777777" w:rsidR="00A920E6" w:rsidRPr="00A920E6" w:rsidRDefault="00A920E6" w:rsidP="00A920E6">
            <w:pPr>
              <w:rPr>
                <w:rFonts w:ascii="Arial" w:hAnsi="Arial" w:cs="Arial"/>
                <w:sz w:val="18"/>
                <w:szCs w:val="18"/>
              </w:rPr>
            </w:pPr>
            <w:r w:rsidRPr="00A920E6">
              <w:rPr>
                <w:rFonts w:ascii="Arial" w:hAnsi="Arial" w:cs="Arial"/>
                <w:sz w:val="18"/>
                <w:szCs w:val="18"/>
              </w:rPr>
              <w:t>Komunalne usluge</w:t>
            </w:r>
          </w:p>
        </w:tc>
        <w:tc>
          <w:tcPr>
            <w:tcW w:w="2919" w:type="dxa"/>
            <w:tcBorders>
              <w:top w:val="nil"/>
              <w:left w:val="nil"/>
              <w:bottom w:val="single" w:sz="4" w:space="0" w:color="C0C0C0"/>
              <w:right w:val="single" w:sz="4" w:space="0" w:color="000080"/>
            </w:tcBorders>
            <w:shd w:val="clear" w:color="auto" w:fill="auto"/>
            <w:vAlign w:val="center"/>
            <w:hideMark/>
          </w:tcPr>
          <w:p w14:paraId="1B87EDF2"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3234</w:t>
            </w:r>
          </w:p>
        </w:tc>
        <w:tc>
          <w:tcPr>
            <w:tcW w:w="1462" w:type="dxa"/>
            <w:tcBorders>
              <w:top w:val="nil"/>
              <w:left w:val="nil"/>
              <w:bottom w:val="single" w:sz="4" w:space="0" w:color="C0C0C0"/>
              <w:right w:val="single" w:sz="4" w:space="0" w:color="000080"/>
            </w:tcBorders>
            <w:shd w:val="clear" w:color="auto" w:fill="auto"/>
            <w:noWrap/>
            <w:vAlign w:val="center"/>
            <w:hideMark/>
          </w:tcPr>
          <w:p w14:paraId="48C0127D"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165.040,72</w:t>
            </w:r>
          </w:p>
        </w:tc>
        <w:tc>
          <w:tcPr>
            <w:tcW w:w="1462" w:type="dxa"/>
            <w:tcBorders>
              <w:top w:val="nil"/>
              <w:left w:val="nil"/>
              <w:bottom w:val="single" w:sz="4" w:space="0" w:color="C0C0C0"/>
              <w:right w:val="single" w:sz="4" w:space="0" w:color="000080"/>
            </w:tcBorders>
            <w:shd w:val="clear" w:color="auto" w:fill="auto"/>
            <w:noWrap/>
            <w:vAlign w:val="center"/>
            <w:hideMark/>
          </w:tcPr>
          <w:p w14:paraId="0B921A62"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174.904,06</w:t>
            </w:r>
          </w:p>
        </w:tc>
        <w:tc>
          <w:tcPr>
            <w:tcW w:w="1574" w:type="dxa"/>
            <w:tcBorders>
              <w:top w:val="nil"/>
              <w:left w:val="nil"/>
              <w:bottom w:val="single" w:sz="4" w:space="0" w:color="C0C0C0"/>
              <w:right w:val="single" w:sz="4" w:space="0" w:color="000000"/>
            </w:tcBorders>
            <w:shd w:val="clear" w:color="auto" w:fill="auto"/>
            <w:noWrap/>
            <w:vAlign w:val="center"/>
            <w:hideMark/>
          </w:tcPr>
          <w:p w14:paraId="7F0AD453"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106,0</w:t>
            </w:r>
          </w:p>
        </w:tc>
      </w:tr>
      <w:tr w:rsidR="00A920E6" w:rsidRPr="00A920E6" w14:paraId="03F6C308"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23D17AAC"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3235</w:t>
            </w:r>
          </w:p>
        </w:tc>
        <w:tc>
          <w:tcPr>
            <w:tcW w:w="5157" w:type="dxa"/>
            <w:tcBorders>
              <w:top w:val="nil"/>
              <w:left w:val="nil"/>
              <w:bottom w:val="single" w:sz="4" w:space="0" w:color="C0C0C0"/>
              <w:right w:val="single" w:sz="4" w:space="0" w:color="000080"/>
            </w:tcBorders>
            <w:shd w:val="clear" w:color="auto" w:fill="auto"/>
            <w:vAlign w:val="center"/>
            <w:hideMark/>
          </w:tcPr>
          <w:p w14:paraId="365BE2F7"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Zakupnine i najamnine</w:t>
            </w:r>
          </w:p>
        </w:tc>
        <w:tc>
          <w:tcPr>
            <w:tcW w:w="2919" w:type="dxa"/>
            <w:tcBorders>
              <w:top w:val="nil"/>
              <w:left w:val="nil"/>
              <w:bottom w:val="single" w:sz="4" w:space="0" w:color="C0C0C0"/>
              <w:right w:val="single" w:sz="4" w:space="0" w:color="000080"/>
            </w:tcBorders>
            <w:shd w:val="clear" w:color="auto" w:fill="auto"/>
            <w:vAlign w:val="center"/>
            <w:hideMark/>
          </w:tcPr>
          <w:p w14:paraId="7E1EE655"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3235</w:t>
            </w:r>
          </w:p>
        </w:tc>
        <w:tc>
          <w:tcPr>
            <w:tcW w:w="1462" w:type="dxa"/>
            <w:tcBorders>
              <w:top w:val="nil"/>
              <w:left w:val="nil"/>
              <w:bottom w:val="single" w:sz="4" w:space="0" w:color="C0C0C0"/>
              <w:right w:val="single" w:sz="4" w:space="0" w:color="000080"/>
            </w:tcBorders>
            <w:shd w:val="clear" w:color="auto" w:fill="auto"/>
            <w:noWrap/>
            <w:vAlign w:val="center"/>
            <w:hideMark/>
          </w:tcPr>
          <w:p w14:paraId="02774B76"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1.665.733,38</w:t>
            </w:r>
          </w:p>
        </w:tc>
        <w:tc>
          <w:tcPr>
            <w:tcW w:w="1462" w:type="dxa"/>
            <w:tcBorders>
              <w:top w:val="nil"/>
              <w:left w:val="nil"/>
              <w:bottom w:val="single" w:sz="4" w:space="0" w:color="C0C0C0"/>
              <w:right w:val="single" w:sz="4" w:space="0" w:color="000080"/>
            </w:tcBorders>
            <w:shd w:val="clear" w:color="auto" w:fill="auto"/>
            <w:noWrap/>
            <w:vAlign w:val="center"/>
            <w:hideMark/>
          </w:tcPr>
          <w:p w14:paraId="359695A8"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1.803.493,40</w:t>
            </w:r>
          </w:p>
        </w:tc>
        <w:tc>
          <w:tcPr>
            <w:tcW w:w="1574" w:type="dxa"/>
            <w:tcBorders>
              <w:top w:val="nil"/>
              <w:left w:val="nil"/>
              <w:bottom w:val="single" w:sz="4" w:space="0" w:color="C0C0C0"/>
              <w:right w:val="single" w:sz="4" w:space="0" w:color="000000"/>
            </w:tcBorders>
            <w:shd w:val="clear" w:color="auto" w:fill="auto"/>
            <w:noWrap/>
            <w:vAlign w:val="center"/>
            <w:hideMark/>
          </w:tcPr>
          <w:p w14:paraId="6CF812D1"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108,3</w:t>
            </w:r>
          </w:p>
        </w:tc>
      </w:tr>
      <w:tr w:rsidR="00A920E6" w:rsidRPr="00A920E6" w14:paraId="7B1B21DF"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2CA4BAFC"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3236</w:t>
            </w:r>
          </w:p>
        </w:tc>
        <w:tc>
          <w:tcPr>
            <w:tcW w:w="5157" w:type="dxa"/>
            <w:tcBorders>
              <w:top w:val="nil"/>
              <w:left w:val="nil"/>
              <w:bottom w:val="single" w:sz="4" w:space="0" w:color="C0C0C0"/>
              <w:right w:val="single" w:sz="4" w:space="0" w:color="000080"/>
            </w:tcBorders>
            <w:shd w:val="clear" w:color="auto" w:fill="auto"/>
            <w:vAlign w:val="center"/>
            <w:hideMark/>
          </w:tcPr>
          <w:p w14:paraId="46A62E69"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Zdravstvene i veterinarske usluge</w:t>
            </w:r>
          </w:p>
        </w:tc>
        <w:tc>
          <w:tcPr>
            <w:tcW w:w="2919" w:type="dxa"/>
            <w:tcBorders>
              <w:top w:val="nil"/>
              <w:left w:val="nil"/>
              <w:bottom w:val="single" w:sz="4" w:space="0" w:color="C0C0C0"/>
              <w:right w:val="single" w:sz="4" w:space="0" w:color="000080"/>
            </w:tcBorders>
            <w:shd w:val="clear" w:color="auto" w:fill="auto"/>
            <w:vAlign w:val="center"/>
            <w:hideMark/>
          </w:tcPr>
          <w:p w14:paraId="704F5C51"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3236</w:t>
            </w:r>
          </w:p>
        </w:tc>
        <w:tc>
          <w:tcPr>
            <w:tcW w:w="1462" w:type="dxa"/>
            <w:tcBorders>
              <w:top w:val="nil"/>
              <w:left w:val="nil"/>
              <w:bottom w:val="single" w:sz="4" w:space="0" w:color="C0C0C0"/>
              <w:right w:val="single" w:sz="4" w:space="0" w:color="000080"/>
            </w:tcBorders>
            <w:shd w:val="clear" w:color="auto" w:fill="auto"/>
            <w:noWrap/>
            <w:vAlign w:val="center"/>
            <w:hideMark/>
          </w:tcPr>
          <w:p w14:paraId="2F957807"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29.001,66</w:t>
            </w:r>
          </w:p>
        </w:tc>
        <w:tc>
          <w:tcPr>
            <w:tcW w:w="1462" w:type="dxa"/>
            <w:tcBorders>
              <w:top w:val="nil"/>
              <w:left w:val="nil"/>
              <w:bottom w:val="single" w:sz="4" w:space="0" w:color="C0C0C0"/>
              <w:right w:val="single" w:sz="4" w:space="0" w:color="000080"/>
            </w:tcBorders>
            <w:shd w:val="clear" w:color="auto" w:fill="auto"/>
            <w:noWrap/>
            <w:vAlign w:val="center"/>
            <w:hideMark/>
          </w:tcPr>
          <w:p w14:paraId="142A6DE7"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34.204,48</w:t>
            </w:r>
          </w:p>
        </w:tc>
        <w:tc>
          <w:tcPr>
            <w:tcW w:w="1574" w:type="dxa"/>
            <w:tcBorders>
              <w:top w:val="nil"/>
              <w:left w:val="nil"/>
              <w:bottom w:val="single" w:sz="4" w:space="0" w:color="C0C0C0"/>
              <w:right w:val="single" w:sz="4" w:space="0" w:color="000000"/>
            </w:tcBorders>
            <w:shd w:val="clear" w:color="auto" w:fill="auto"/>
            <w:noWrap/>
            <w:vAlign w:val="center"/>
            <w:hideMark/>
          </w:tcPr>
          <w:p w14:paraId="3AC6E3BA"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117,9</w:t>
            </w:r>
          </w:p>
        </w:tc>
      </w:tr>
      <w:tr w:rsidR="00A920E6" w:rsidRPr="00A920E6" w14:paraId="7ABA8202"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5AEF56E7"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3237</w:t>
            </w:r>
          </w:p>
        </w:tc>
        <w:tc>
          <w:tcPr>
            <w:tcW w:w="5157" w:type="dxa"/>
            <w:tcBorders>
              <w:top w:val="nil"/>
              <w:left w:val="nil"/>
              <w:bottom w:val="single" w:sz="4" w:space="0" w:color="C0C0C0"/>
              <w:right w:val="single" w:sz="4" w:space="0" w:color="000080"/>
            </w:tcBorders>
            <w:shd w:val="clear" w:color="auto" w:fill="auto"/>
            <w:vAlign w:val="center"/>
            <w:hideMark/>
          </w:tcPr>
          <w:p w14:paraId="2AE5D587"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Intelektualne i osobne usluge</w:t>
            </w:r>
          </w:p>
        </w:tc>
        <w:tc>
          <w:tcPr>
            <w:tcW w:w="2919" w:type="dxa"/>
            <w:tcBorders>
              <w:top w:val="nil"/>
              <w:left w:val="nil"/>
              <w:bottom w:val="single" w:sz="4" w:space="0" w:color="C0C0C0"/>
              <w:right w:val="single" w:sz="4" w:space="0" w:color="000080"/>
            </w:tcBorders>
            <w:shd w:val="clear" w:color="auto" w:fill="auto"/>
            <w:vAlign w:val="center"/>
            <w:hideMark/>
          </w:tcPr>
          <w:p w14:paraId="4E3D6E50"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3237</w:t>
            </w:r>
          </w:p>
        </w:tc>
        <w:tc>
          <w:tcPr>
            <w:tcW w:w="1462" w:type="dxa"/>
            <w:tcBorders>
              <w:top w:val="nil"/>
              <w:left w:val="nil"/>
              <w:bottom w:val="single" w:sz="4" w:space="0" w:color="C0C0C0"/>
              <w:right w:val="single" w:sz="4" w:space="0" w:color="000080"/>
            </w:tcBorders>
            <w:shd w:val="clear" w:color="auto" w:fill="auto"/>
            <w:noWrap/>
            <w:vAlign w:val="center"/>
            <w:hideMark/>
          </w:tcPr>
          <w:p w14:paraId="25BDDDD6"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951.386,73</w:t>
            </w:r>
          </w:p>
        </w:tc>
        <w:tc>
          <w:tcPr>
            <w:tcW w:w="1462" w:type="dxa"/>
            <w:tcBorders>
              <w:top w:val="nil"/>
              <w:left w:val="nil"/>
              <w:bottom w:val="single" w:sz="4" w:space="0" w:color="C0C0C0"/>
              <w:right w:val="single" w:sz="4" w:space="0" w:color="000080"/>
            </w:tcBorders>
            <w:shd w:val="clear" w:color="auto" w:fill="auto"/>
            <w:noWrap/>
            <w:vAlign w:val="center"/>
            <w:hideMark/>
          </w:tcPr>
          <w:p w14:paraId="7FF42E5C"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1.191.539,29</w:t>
            </w:r>
          </w:p>
        </w:tc>
        <w:tc>
          <w:tcPr>
            <w:tcW w:w="1574" w:type="dxa"/>
            <w:tcBorders>
              <w:top w:val="nil"/>
              <w:left w:val="nil"/>
              <w:bottom w:val="single" w:sz="4" w:space="0" w:color="C0C0C0"/>
              <w:right w:val="single" w:sz="4" w:space="0" w:color="000000"/>
            </w:tcBorders>
            <w:shd w:val="clear" w:color="auto" w:fill="auto"/>
            <w:noWrap/>
            <w:vAlign w:val="center"/>
            <w:hideMark/>
          </w:tcPr>
          <w:p w14:paraId="55A37489"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125,2</w:t>
            </w:r>
          </w:p>
        </w:tc>
      </w:tr>
      <w:tr w:rsidR="00A920E6" w:rsidRPr="00A920E6" w14:paraId="48ED011D"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601A898D"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3238</w:t>
            </w:r>
          </w:p>
        </w:tc>
        <w:tc>
          <w:tcPr>
            <w:tcW w:w="5157" w:type="dxa"/>
            <w:tcBorders>
              <w:top w:val="nil"/>
              <w:left w:val="nil"/>
              <w:bottom w:val="single" w:sz="4" w:space="0" w:color="C0C0C0"/>
              <w:right w:val="single" w:sz="4" w:space="0" w:color="000080"/>
            </w:tcBorders>
            <w:shd w:val="clear" w:color="auto" w:fill="auto"/>
            <w:vAlign w:val="center"/>
            <w:hideMark/>
          </w:tcPr>
          <w:p w14:paraId="751BC5C1"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Računalne usluge</w:t>
            </w:r>
          </w:p>
        </w:tc>
        <w:tc>
          <w:tcPr>
            <w:tcW w:w="2919" w:type="dxa"/>
            <w:tcBorders>
              <w:top w:val="nil"/>
              <w:left w:val="nil"/>
              <w:bottom w:val="single" w:sz="4" w:space="0" w:color="C0C0C0"/>
              <w:right w:val="single" w:sz="4" w:space="0" w:color="000080"/>
            </w:tcBorders>
            <w:shd w:val="clear" w:color="auto" w:fill="auto"/>
            <w:vAlign w:val="center"/>
            <w:hideMark/>
          </w:tcPr>
          <w:p w14:paraId="457E6DA8"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3238</w:t>
            </w:r>
          </w:p>
        </w:tc>
        <w:tc>
          <w:tcPr>
            <w:tcW w:w="1462" w:type="dxa"/>
            <w:tcBorders>
              <w:top w:val="nil"/>
              <w:left w:val="nil"/>
              <w:bottom w:val="single" w:sz="4" w:space="0" w:color="C0C0C0"/>
              <w:right w:val="single" w:sz="4" w:space="0" w:color="000080"/>
            </w:tcBorders>
            <w:shd w:val="clear" w:color="auto" w:fill="auto"/>
            <w:noWrap/>
            <w:vAlign w:val="center"/>
            <w:hideMark/>
          </w:tcPr>
          <w:p w14:paraId="1E419947"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1.933.913,80</w:t>
            </w:r>
          </w:p>
        </w:tc>
        <w:tc>
          <w:tcPr>
            <w:tcW w:w="1462" w:type="dxa"/>
            <w:tcBorders>
              <w:top w:val="nil"/>
              <w:left w:val="nil"/>
              <w:bottom w:val="single" w:sz="4" w:space="0" w:color="C0C0C0"/>
              <w:right w:val="single" w:sz="4" w:space="0" w:color="000080"/>
            </w:tcBorders>
            <w:shd w:val="clear" w:color="auto" w:fill="auto"/>
            <w:noWrap/>
            <w:vAlign w:val="center"/>
            <w:hideMark/>
          </w:tcPr>
          <w:p w14:paraId="55A20B10"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2.400.246,52</w:t>
            </w:r>
          </w:p>
        </w:tc>
        <w:tc>
          <w:tcPr>
            <w:tcW w:w="1574" w:type="dxa"/>
            <w:tcBorders>
              <w:top w:val="nil"/>
              <w:left w:val="nil"/>
              <w:bottom w:val="single" w:sz="4" w:space="0" w:color="C0C0C0"/>
              <w:right w:val="single" w:sz="4" w:space="0" w:color="000000"/>
            </w:tcBorders>
            <w:shd w:val="clear" w:color="auto" w:fill="auto"/>
            <w:noWrap/>
            <w:vAlign w:val="center"/>
            <w:hideMark/>
          </w:tcPr>
          <w:p w14:paraId="448F4F96"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124,1</w:t>
            </w:r>
          </w:p>
        </w:tc>
      </w:tr>
      <w:tr w:rsidR="00A920E6" w:rsidRPr="00A920E6" w14:paraId="6F5C41F6"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47508449"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3239</w:t>
            </w:r>
          </w:p>
        </w:tc>
        <w:tc>
          <w:tcPr>
            <w:tcW w:w="5157" w:type="dxa"/>
            <w:tcBorders>
              <w:top w:val="nil"/>
              <w:left w:val="nil"/>
              <w:bottom w:val="single" w:sz="4" w:space="0" w:color="C0C0C0"/>
              <w:right w:val="single" w:sz="4" w:space="0" w:color="000080"/>
            </w:tcBorders>
            <w:shd w:val="clear" w:color="auto" w:fill="auto"/>
            <w:vAlign w:val="center"/>
            <w:hideMark/>
          </w:tcPr>
          <w:p w14:paraId="76EFBAAF"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Ostale usluge</w:t>
            </w:r>
          </w:p>
        </w:tc>
        <w:tc>
          <w:tcPr>
            <w:tcW w:w="2919" w:type="dxa"/>
            <w:tcBorders>
              <w:top w:val="nil"/>
              <w:left w:val="nil"/>
              <w:bottom w:val="single" w:sz="4" w:space="0" w:color="C0C0C0"/>
              <w:right w:val="single" w:sz="4" w:space="0" w:color="000080"/>
            </w:tcBorders>
            <w:shd w:val="clear" w:color="auto" w:fill="auto"/>
            <w:vAlign w:val="center"/>
            <w:hideMark/>
          </w:tcPr>
          <w:p w14:paraId="65D9C76E"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3239</w:t>
            </w:r>
          </w:p>
        </w:tc>
        <w:tc>
          <w:tcPr>
            <w:tcW w:w="1462" w:type="dxa"/>
            <w:tcBorders>
              <w:top w:val="nil"/>
              <w:left w:val="nil"/>
              <w:bottom w:val="single" w:sz="4" w:space="0" w:color="C0C0C0"/>
              <w:right w:val="single" w:sz="4" w:space="0" w:color="000080"/>
            </w:tcBorders>
            <w:shd w:val="clear" w:color="auto" w:fill="auto"/>
            <w:noWrap/>
            <w:vAlign w:val="center"/>
            <w:hideMark/>
          </w:tcPr>
          <w:p w14:paraId="6EC4AA8A"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982.172,34</w:t>
            </w:r>
          </w:p>
        </w:tc>
        <w:tc>
          <w:tcPr>
            <w:tcW w:w="1462" w:type="dxa"/>
            <w:tcBorders>
              <w:top w:val="nil"/>
              <w:left w:val="nil"/>
              <w:bottom w:val="single" w:sz="4" w:space="0" w:color="C0C0C0"/>
              <w:right w:val="single" w:sz="4" w:space="0" w:color="000080"/>
            </w:tcBorders>
            <w:shd w:val="clear" w:color="auto" w:fill="auto"/>
            <w:noWrap/>
            <w:vAlign w:val="center"/>
            <w:hideMark/>
          </w:tcPr>
          <w:p w14:paraId="09CF5956"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1.001.549,30</w:t>
            </w:r>
          </w:p>
        </w:tc>
        <w:tc>
          <w:tcPr>
            <w:tcW w:w="1574" w:type="dxa"/>
            <w:tcBorders>
              <w:top w:val="nil"/>
              <w:left w:val="nil"/>
              <w:bottom w:val="single" w:sz="4" w:space="0" w:color="C0C0C0"/>
              <w:right w:val="single" w:sz="4" w:space="0" w:color="000000"/>
            </w:tcBorders>
            <w:shd w:val="clear" w:color="auto" w:fill="auto"/>
            <w:noWrap/>
            <w:vAlign w:val="center"/>
            <w:hideMark/>
          </w:tcPr>
          <w:p w14:paraId="72A2EC9D"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102,0</w:t>
            </w:r>
          </w:p>
        </w:tc>
      </w:tr>
      <w:tr w:rsidR="00A920E6" w:rsidRPr="00A920E6" w14:paraId="2554C482"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415B6F2E"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324</w:t>
            </w:r>
          </w:p>
        </w:tc>
        <w:tc>
          <w:tcPr>
            <w:tcW w:w="5157" w:type="dxa"/>
            <w:tcBorders>
              <w:top w:val="nil"/>
              <w:left w:val="nil"/>
              <w:bottom w:val="single" w:sz="4" w:space="0" w:color="C0C0C0"/>
              <w:right w:val="single" w:sz="4" w:space="0" w:color="000080"/>
            </w:tcBorders>
            <w:shd w:val="clear" w:color="auto" w:fill="auto"/>
            <w:vAlign w:val="center"/>
            <w:hideMark/>
          </w:tcPr>
          <w:p w14:paraId="6BC51871"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Naknade troškova osobama izvan radnog odnosa</w:t>
            </w:r>
          </w:p>
        </w:tc>
        <w:tc>
          <w:tcPr>
            <w:tcW w:w="2919" w:type="dxa"/>
            <w:tcBorders>
              <w:top w:val="nil"/>
              <w:left w:val="nil"/>
              <w:bottom w:val="single" w:sz="4" w:space="0" w:color="C0C0C0"/>
              <w:right w:val="single" w:sz="4" w:space="0" w:color="000080"/>
            </w:tcBorders>
            <w:shd w:val="clear" w:color="auto" w:fill="auto"/>
            <w:vAlign w:val="center"/>
            <w:hideMark/>
          </w:tcPr>
          <w:p w14:paraId="03479400"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324</w:t>
            </w:r>
          </w:p>
        </w:tc>
        <w:tc>
          <w:tcPr>
            <w:tcW w:w="1462" w:type="dxa"/>
            <w:tcBorders>
              <w:top w:val="nil"/>
              <w:left w:val="nil"/>
              <w:bottom w:val="single" w:sz="4" w:space="0" w:color="C0C0C0"/>
              <w:right w:val="single" w:sz="4" w:space="0" w:color="000080"/>
            </w:tcBorders>
            <w:shd w:val="clear" w:color="auto" w:fill="auto"/>
            <w:noWrap/>
            <w:vAlign w:val="center"/>
            <w:hideMark/>
          </w:tcPr>
          <w:p w14:paraId="6C057BAB"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61,36</w:t>
            </w:r>
          </w:p>
        </w:tc>
        <w:tc>
          <w:tcPr>
            <w:tcW w:w="1462" w:type="dxa"/>
            <w:tcBorders>
              <w:top w:val="nil"/>
              <w:left w:val="nil"/>
              <w:bottom w:val="single" w:sz="4" w:space="0" w:color="C0C0C0"/>
              <w:right w:val="single" w:sz="4" w:space="0" w:color="000080"/>
            </w:tcBorders>
            <w:shd w:val="clear" w:color="auto" w:fill="auto"/>
            <w:noWrap/>
            <w:vAlign w:val="center"/>
            <w:hideMark/>
          </w:tcPr>
          <w:p w14:paraId="29664DC1"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1.188,75</w:t>
            </w:r>
          </w:p>
        </w:tc>
        <w:tc>
          <w:tcPr>
            <w:tcW w:w="1574" w:type="dxa"/>
            <w:tcBorders>
              <w:top w:val="nil"/>
              <w:left w:val="nil"/>
              <w:bottom w:val="single" w:sz="4" w:space="0" w:color="C0C0C0"/>
              <w:right w:val="single" w:sz="4" w:space="0" w:color="000000"/>
            </w:tcBorders>
            <w:shd w:val="clear" w:color="auto" w:fill="auto"/>
            <w:noWrap/>
            <w:vAlign w:val="center"/>
            <w:hideMark/>
          </w:tcPr>
          <w:p w14:paraId="54C1AE9E"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1.937,3</w:t>
            </w:r>
          </w:p>
        </w:tc>
      </w:tr>
      <w:tr w:rsidR="00A920E6" w:rsidRPr="00A920E6" w14:paraId="3CFE2632"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69EE8818"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329</w:t>
            </w:r>
          </w:p>
        </w:tc>
        <w:tc>
          <w:tcPr>
            <w:tcW w:w="5157" w:type="dxa"/>
            <w:tcBorders>
              <w:top w:val="nil"/>
              <w:left w:val="nil"/>
              <w:bottom w:val="single" w:sz="4" w:space="0" w:color="C0C0C0"/>
              <w:right w:val="single" w:sz="4" w:space="0" w:color="000080"/>
            </w:tcBorders>
            <w:shd w:val="clear" w:color="auto" w:fill="auto"/>
            <w:vAlign w:val="center"/>
            <w:hideMark/>
          </w:tcPr>
          <w:p w14:paraId="7EE7E9FD"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Ostali nespomenuti rashodi poslovanja (šifre 3291 do 3299)</w:t>
            </w:r>
          </w:p>
        </w:tc>
        <w:tc>
          <w:tcPr>
            <w:tcW w:w="2919" w:type="dxa"/>
            <w:tcBorders>
              <w:top w:val="nil"/>
              <w:left w:val="nil"/>
              <w:bottom w:val="single" w:sz="4" w:space="0" w:color="C0C0C0"/>
              <w:right w:val="single" w:sz="4" w:space="0" w:color="000080"/>
            </w:tcBorders>
            <w:shd w:val="clear" w:color="auto" w:fill="auto"/>
            <w:vAlign w:val="center"/>
            <w:hideMark/>
          </w:tcPr>
          <w:p w14:paraId="220896FB"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329</w:t>
            </w:r>
          </w:p>
        </w:tc>
        <w:tc>
          <w:tcPr>
            <w:tcW w:w="1462" w:type="dxa"/>
            <w:tcBorders>
              <w:top w:val="nil"/>
              <w:left w:val="nil"/>
              <w:bottom w:val="single" w:sz="4" w:space="0" w:color="C0C0C0"/>
              <w:right w:val="single" w:sz="4" w:space="0" w:color="000080"/>
            </w:tcBorders>
            <w:shd w:val="clear" w:color="auto" w:fill="auto"/>
            <w:noWrap/>
            <w:vAlign w:val="center"/>
            <w:hideMark/>
          </w:tcPr>
          <w:p w14:paraId="3E94EFA1"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2.501.296,96</w:t>
            </w:r>
          </w:p>
        </w:tc>
        <w:tc>
          <w:tcPr>
            <w:tcW w:w="1462" w:type="dxa"/>
            <w:tcBorders>
              <w:top w:val="nil"/>
              <w:left w:val="nil"/>
              <w:bottom w:val="single" w:sz="4" w:space="0" w:color="C0C0C0"/>
              <w:right w:val="single" w:sz="4" w:space="0" w:color="000080"/>
            </w:tcBorders>
            <w:shd w:val="clear" w:color="auto" w:fill="auto"/>
            <w:noWrap/>
            <w:vAlign w:val="center"/>
            <w:hideMark/>
          </w:tcPr>
          <w:p w14:paraId="72B9C229"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2.669.920,34</w:t>
            </w:r>
          </w:p>
        </w:tc>
        <w:tc>
          <w:tcPr>
            <w:tcW w:w="1574" w:type="dxa"/>
            <w:tcBorders>
              <w:top w:val="nil"/>
              <w:left w:val="nil"/>
              <w:bottom w:val="single" w:sz="4" w:space="0" w:color="C0C0C0"/>
              <w:right w:val="single" w:sz="4" w:space="0" w:color="000000"/>
            </w:tcBorders>
            <w:shd w:val="clear" w:color="auto" w:fill="auto"/>
            <w:noWrap/>
            <w:vAlign w:val="center"/>
            <w:hideMark/>
          </w:tcPr>
          <w:p w14:paraId="5B5A9475"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106,7</w:t>
            </w:r>
          </w:p>
        </w:tc>
      </w:tr>
      <w:tr w:rsidR="00A920E6" w:rsidRPr="00A920E6" w14:paraId="7D1FF825"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7D0C0FE5"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3291</w:t>
            </w:r>
          </w:p>
        </w:tc>
        <w:tc>
          <w:tcPr>
            <w:tcW w:w="5157" w:type="dxa"/>
            <w:tcBorders>
              <w:top w:val="nil"/>
              <w:left w:val="nil"/>
              <w:bottom w:val="single" w:sz="4" w:space="0" w:color="C0C0C0"/>
              <w:right w:val="single" w:sz="4" w:space="0" w:color="000080"/>
            </w:tcBorders>
            <w:shd w:val="clear" w:color="auto" w:fill="auto"/>
            <w:vAlign w:val="center"/>
            <w:hideMark/>
          </w:tcPr>
          <w:p w14:paraId="52CACC2F"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Naknade za rad predstavničkih i izvršnih tijela, povjerenstava i slično</w:t>
            </w:r>
          </w:p>
        </w:tc>
        <w:tc>
          <w:tcPr>
            <w:tcW w:w="2919" w:type="dxa"/>
            <w:tcBorders>
              <w:top w:val="nil"/>
              <w:left w:val="nil"/>
              <w:bottom w:val="single" w:sz="4" w:space="0" w:color="C0C0C0"/>
              <w:right w:val="single" w:sz="4" w:space="0" w:color="000080"/>
            </w:tcBorders>
            <w:shd w:val="clear" w:color="auto" w:fill="auto"/>
            <w:vAlign w:val="center"/>
            <w:hideMark/>
          </w:tcPr>
          <w:p w14:paraId="49081AFD"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3291</w:t>
            </w:r>
          </w:p>
        </w:tc>
        <w:tc>
          <w:tcPr>
            <w:tcW w:w="1462" w:type="dxa"/>
            <w:tcBorders>
              <w:top w:val="nil"/>
              <w:left w:val="nil"/>
              <w:bottom w:val="single" w:sz="4" w:space="0" w:color="C0C0C0"/>
              <w:right w:val="single" w:sz="4" w:space="0" w:color="000080"/>
            </w:tcBorders>
            <w:shd w:val="clear" w:color="auto" w:fill="auto"/>
            <w:noWrap/>
            <w:vAlign w:val="center"/>
            <w:hideMark/>
          </w:tcPr>
          <w:p w14:paraId="570035AC"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1.616.795,75</w:t>
            </w:r>
          </w:p>
        </w:tc>
        <w:tc>
          <w:tcPr>
            <w:tcW w:w="1462" w:type="dxa"/>
            <w:tcBorders>
              <w:top w:val="nil"/>
              <w:left w:val="nil"/>
              <w:bottom w:val="single" w:sz="4" w:space="0" w:color="C0C0C0"/>
              <w:right w:val="single" w:sz="4" w:space="0" w:color="000080"/>
            </w:tcBorders>
            <w:shd w:val="clear" w:color="auto" w:fill="auto"/>
            <w:noWrap/>
            <w:vAlign w:val="center"/>
            <w:hideMark/>
          </w:tcPr>
          <w:p w14:paraId="3E17F88D"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1.656.595,03</w:t>
            </w:r>
          </w:p>
        </w:tc>
        <w:tc>
          <w:tcPr>
            <w:tcW w:w="1574" w:type="dxa"/>
            <w:tcBorders>
              <w:top w:val="nil"/>
              <w:left w:val="nil"/>
              <w:bottom w:val="single" w:sz="4" w:space="0" w:color="C0C0C0"/>
              <w:right w:val="single" w:sz="4" w:space="0" w:color="000000"/>
            </w:tcBorders>
            <w:shd w:val="clear" w:color="auto" w:fill="auto"/>
            <w:noWrap/>
            <w:vAlign w:val="center"/>
            <w:hideMark/>
          </w:tcPr>
          <w:p w14:paraId="38A716BC"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102,5</w:t>
            </w:r>
          </w:p>
        </w:tc>
      </w:tr>
      <w:tr w:rsidR="00A920E6" w:rsidRPr="00A920E6" w14:paraId="5257C364"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4E7F9914"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3292</w:t>
            </w:r>
          </w:p>
        </w:tc>
        <w:tc>
          <w:tcPr>
            <w:tcW w:w="5157" w:type="dxa"/>
            <w:tcBorders>
              <w:top w:val="nil"/>
              <w:left w:val="nil"/>
              <w:bottom w:val="single" w:sz="4" w:space="0" w:color="C0C0C0"/>
              <w:right w:val="single" w:sz="4" w:space="0" w:color="000080"/>
            </w:tcBorders>
            <w:shd w:val="clear" w:color="auto" w:fill="auto"/>
            <w:vAlign w:val="center"/>
            <w:hideMark/>
          </w:tcPr>
          <w:p w14:paraId="10207500"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Premije osiguranja</w:t>
            </w:r>
          </w:p>
        </w:tc>
        <w:tc>
          <w:tcPr>
            <w:tcW w:w="2919" w:type="dxa"/>
            <w:tcBorders>
              <w:top w:val="nil"/>
              <w:left w:val="nil"/>
              <w:bottom w:val="single" w:sz="4" w:space="0" w:color="C0C0C0"/>
              <w:right w:val="single" w:sz="4" w:space="0" w:color="000080"/>
            </w:tcBorders>
            <w:shd w:val="clear" w:color="auto" w:fill="auto"/>
            <w:vAlign w:val="center"/>
            <w:hideMark/>
          </w:tcPr>
          <w:p w14:paraId="48354795"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3292</w:t>
            </w:r>
          </w:p>
        </w:tc>
        <w:tc>
          <w:tcPr>
            <w:tcW w:w="1462" w:type="dxa"/>
            <w:tcBorders>
              <w:top w:val="nil"/>
              <w:left w:val="nil"/>
              <w:bottom w:val="single" w:sz="4" w:space="0" w:color="C0C0C0"/>
              <w:right w:val="single" w:sz="4" w:space="0" w:color="000080"/>
            </w:tcBorders>
            <w:shd w:val="clear" w:color="auto" w:fill="auto"/>
            <w:noWrap/>
            <w:vAlign w:val="center"/>
            <w:hideMark/>
          </w:tcPr>
          <w:p w14:paraId="3F07FD04"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126.583,90</w:t>
            </w:r>
          </w:p>
        </w:tc>
        <w:tc>
          <w:tcPr>
            <w:tcW w:w="1462" w:type="dxa"/>
            <w:tcBorders>
              <w:top w:val="nil"/>
              <w:left w:val="nil"/>
              <w:bottom w:val="single" w:sz="4" w:space="0" w:color="C0C0C0"/>
              <w:right w:val="single" w:sz="4" w:space="0" w:color="000080"/>
            </w:tcBorders>
            <w:shd w:val="clear" w:color="auto" w:fill="auto"/>
            <w:noWrap/>
            <w:vAlign w:val="center"/>
            <w:hideMark/>
          </w:tcPr>
          <w:p w14:paraId="30824CC9"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196.359,14</w:t>
            </w:r>
          </w:p>
        </w:tc>
        <w:tc>
          <w:tcPr>
            <w:tcW w:w="1574" w:type="dxa"/>
            <w:tcBorders>
              <w:top w:val="nil"/>
              <w:left w:val="nil"/>
              <w:bottom w:val="single" w:sz="4" w:space="0" w:color="C0C0C0"/>
              <w:right w:val="single" w:sz="4" w:space="0" w:color="000000"/>
            </w:tcBorders>
            <w:shd w:val="clear" w:color="auto" w:fill="auto"/>
            <w:noWrap/>
            <w:vAlign w:val="center"/>
            <w:hideMark/>
          </w:tcPr>
          <w:p w14:paraId="11C875B1"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155,1</w:t>
            </w:r>
          </w:p>
        </w:tc>
      </w:tr>
      <w:tr w:rsidR="00A920E6" w:rsidRPr="00A920E6" w14:paraId="285096E4"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0BEFC719"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3293</w:t>
            </w:r>
          </w:p>
        </w:tc>
        <w:tc>
          <w:tcPr>
            <w:tcW w:w="5157" w:type="dxa"/>
            <w:tcBorders>
              <w:top w:val="nil"/>
              <w:left w:val="nil"/>
              <w:bottom w:val="single" w:sz="4" w:space="0" w:color="C0C0C0"/>
              <w:right w:val="single" w:sz="4" w:space="0" w:color="000080"/>
            </w:tcBorders>
            <w:shd w:val="clear" w:color="auto" w:fill="auto"/>
            <w:vAlign w:val="center"/>
            <w:hideMark/>
          </w:tcPr>
          <w:p w14:paraId="08B5AF8D"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Reprezentacija</w:t>
            </w:r>
          </w:p>
        </w:tc>
        <w:tc>
          <w:tcPr>
            <w:tcW w:w="2919" w:type="dxa"/>
            <w:tcBorders>
              <w:top w:val="nil"/>
              <w:left w:val="nil"/>
              <w:bottom w:val="single" w:sz="4" w:space="0" w:color="C0C0C0"/>
              <w:right w:val="single" w:sz="4" w:space="0" w:color="000080"/>
            </w:tcBorders>
            <w:shd w:val="clear" w:color="auto" w:fill="auto"/>
            <w:vAlign w:val="center"/>
            <w:hideMark/>
          </w:tcPr>
          <w:p w14:paraId="3D1C60CE"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3293</w:t>
            </w:r>
          </w:p>
        </w:tc>
        <w:tc>
          <w:tcPr>
            <w:tcW w:w="1462" w:type="dxa"/>
            <w:tcBorders>
              <w:top w:val="nil"/>
              <w:left w:val="nil"/>
              <w:bottom w:val="single" w:sz="4" w:space="0" w:color="C0C0C0"/>
              <w:right w:val="single" w:sz="4" w:space="0" w:color="000080"/>
            </w:tcBorders>
            <w:shd w:val="clear" w:color="auto" w:fill="auto"/>
            <w:noWrap/>
            <w:vAlign w:val="center"/>
            <w:hideMark/>
          </w:tcPr>
          <w:p w14:paraId="04BA9B9A"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44.971,48</w:t>
            </w:r>
          </w:p>
        </w:tc>
        <w:tc>
          <w:tcPr>
            <w:tcW w:w="1462" w:type="dxa"/>
            <w:tcBorders>
              <w:top w:val="nil"/>
              <w:left w:val="nil"/>
              <w:bottom w:val="single" w:sz="4" w:space="0" w:color="C0C0C0"/>
              <w:right w:val="single" w:sz="4" w:space="0" w:color="000080"/>
            </w:tcBorders>
            <w:shd w:val="clear" w:color="auto" w:fill="auto"/>
            <w:noWrap/>
            <w:vAlign w:val="center"/>
            <w:hideMark/>
          </w:tcPr>
          <w:p w14:paraId="05F0117B"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82.623,45</w:t>
            </w:r>
          </w:p>
        </w:tc>
        <w:tc>
          <w:tcPr>
            <w:tcW w:w="1574" w:type="dxa"/>
            <w:tcBorders>
              <w:top w:val="nil"/>
              <w:left w:val="nil"/>
              <w:bottom w:val="single" w:sz="4" w:space="0" w:color="C0C0C0"/>
              <w:right w:val="single" w:sz="4" w:space="0" w:color="000000"/>
            </w:tcBorders>
            <w:shd w:val="clear" w:color="auto" w:fill="auto"/>
            <w:noWrap/>
            <w:vAlign w:val="center"/>
            <w:hideMark/>
          </w:tcPr>
          <w:p w14:paraId="65DB4771"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183,7</w:t>
            </w:r>
          </w:p>
        </w:tc>
      </w:tr>
      <w:tr w:rsidR="00A920E6" w:rsidRPr="00A920E6" w14:paraId="6B721B0A"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36B95E54"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3294</w:t>
            </w:r>
          </w:p>
        </w:tc>
        <w:tc>
          <w:tcPr>
            <w:tcW w:w="5157" w:type="dxa"/>
            <w:tcBorders>
              <w:top w:val="nil"/>
              <w:left w:val="nil"/>
              <w:bottom w:val="single" w:sz="4" w:space="0" w:color="C0C0C0"/>
              <w:right w:val="single" w:sz="4" w:space="0" w:color="000080"/>
            </w:tcBorders>
            <w:shd w:val="clear" w:color="auto" w:fill="auto"/>
            <w:vAlign w:val="center"/>
            <w:hideMark/>
          </w:tcPr>
          <w:p w14:paraId="00648A85"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Članarine i norme</w:t>
            </w:r>
          </w:p>
        </w:tc>
        <w:tc>
          <w:tcPr>
            <w:tcW w:w="2919" w:type="dxa"/>
            <w:tcBorders>
              <w:top w:val="nil"/>
              <w:left w:val="nil"/>
              <w:bottom w:val="single" w:sz="4" w:space="0" w:color="C0C0C0"/>
              <w:right w:val="single" w:sz="4" w:space="0" w:color="000080"/>
            </w:tcBorders>
            <w:shd w:val="clear" w:color="auto" w:fill="auto"/>
            <w:vAlign w:val="center"/>
            <w:hideMark/>
          </w:tcPr>
          <w:p w14:paraId="2C22C72A"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3294</w:t>
            </w:r>
          </w:p>
        </w:tc>
        <w:tc>
          <w:tcPr>
            <w:tcW w:w="1462" w:type="dxa"/>
            <w:tcBorders>
              <w:top w:val="nil"/>
              <w:left w:val="nil"/>
              <w:bottom w:val="single" w:sz="4" w:space="0" w:color="C0C0C0"/>
              <w:right w:val="single" w:sz="4" w:space="0" w:color="000080"/>
            </w:tcBorders>
            <w:shd w:val="clear" w:color="auto" w:fill="auto"/>
            <w:noWrap/>
            <w:vAlign w:val="center"/>
            <w:hideMark/>
          </w:tcPr>
          <w:p w14:paraId="4D3F6E99"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567.578,63</w:t>
            </w:r>
          </w:p>
        </w:tc>
        <w:tc>
          <w:tcPr>
            <w:tcW w:w="1462" w:type="dxa"/>
            <w:tcBorders>
              <w:top w:val="nil"/>
              <w:left w:val="nil"/>
              <w:bottom w:val="single" w:sz="4" w:space="0" w:color="C0C0C0"/>
              <w:right w:val="single" w:sz="4" w:space="0" w:color="000080"/>
            </w:tcBorders>
            <w:shd w:val="clear" w:color="auto" w:fill="auto"/>
            <w:noWrap/>
            <w:vAlign w:val="center"/>
            <w:hideMark/>
          </w:tcPr>
          <w:p w14:paraId="1582D1BB"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597.369,43</w:t>
            </w:r>
          </w:p>
        </w:tc>
        <w:tc>
          <w:tcPr>
            <w:tcW w:w="1574" w:type="dxa"/>
            <w:tcBorders>
              <w:top w:val="nil"/>
              <w:left w:val="nil"/>
              <w:bottom w:val="single" w:sz="4" w:space="0" w:color="C0C0C0"/>
              <w:right w:val="single" w:sz="4" w:space="0" w:color="000000"/>
            </w:tcBorders>
            <w:shd w:val="clear" w:color="auto" w:fill="auto"/>
            <w:noWrap/>
            <w:vAlign w:val="center"/>
            <w:hideMark/>
          </w:tcPr>
          <w:p w14:paraId="56B4A6DC"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105,2</w:t>
            </w:r>
          </w:p>
        </w:tc>
      </w:tr>
      <w:tr w:rsidR="00A920E6" w:rsidRPr="00A920E6" w14:paraId="4E24AA3A"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138435AA"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3295</w:t>
            </w:r>
          </w:p>
        </w:tc>
        <w:tc>
          <w:tcPr>
            <w:tcW w:w="5157" w:type="dxa"/>
            <w:tcBorders>
              <w:top w:val="nil"/>
              <w:left w:val="nil"/>
              <w:bottom w:val="single" w:sz="4" w:space="0" w:color="C0C0C0"/>
              <w:right w:val="single" w:sz="4" w:space="0" w:color="000080"/>
            </w:tcBorders>
            <w:shd w:val="clear" w:color="auto" w:fill="auto"/>
            <w:vAlign w:val="center"/>
            <w:hideMark/>
          </w:tcPr>
          <w:p w14:paraId="520B64F1"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Pristojbe i naknade</w:t>
            </w:r>
          </w:p>
        </w:tc>
        <w:tc>
          <w:tcPr>
            <w:tcW w:w="2919" w:type="dxa"/>
            <w:tcBorders>
              <w:top w:val="nil"/>
              <w:left w:val="nil"/>
              <w:bottom w:val="single" w:sz="4" w:space="0" w:color="C0C0C0"/>
              <w:right w:val="single" w:sz="4" w:space="0" w:color="000080"/>
            </w:tcBorders>
            <w:shd w:val="clear" w:color="auto" w:fill="auto"/>
            <w:vAlign w:val="center"/>
            <w:hideMark/>
          </w:tcPr>
          <w:p w14:paraId="1A2C5582"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3295</w:t>
            </w:r>
          </w:p>
        </w:tc>
        <w:tc>
          <w:tcPr>
            <w:tcW w:w="1462" w:type="dxa"/>
            <w:tcBorders>
              <w:top w:val="nil"/>
              <w:left w:val="nil"/>
              <w:bottom w:val="single" w:sz="4" w:space="0" w:color="C0C0C0"/>
              <w:right w:val="single" w:sz="4" w:space="0" w:color="000080"/>
            </w:tcBorders>
            <w:shd w:val="clear" w:color="auto" w:fill="auto"/>
            <w:noWrap/>
            <w:vAlign w:val="center"/>
            <w:hideMark/>
          </w:tcPr>
          <w:p w14:paraId="31D91B8B"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24.168,46</w:t>
            </w:r>
          </w:p>
        </w:tc>
        <w:tc>
          <w:tcPr>
            <w:tcW w:w="1462" w:type="dxa"/>
            <w:tcBorders>
              <w:top w:val="nil"/>
              <w:left w:val="nil"/>
              <w:bottom w:val="single" w:sz="4" w:space="0" w:color="C0C0C0"/>
              <w:right w:val="single" w:sz="4" w:space="0" w:color="000080"/>
            </w:tcBorders>
            <w:shd w:val="clear" w:color="auto" w:fill="auto"/>
            <w:noWrap/>
            <w:vAlign w:val="center"/>
            <w:hideMark/>
          </w:tcPr>
          <w:p w14:paraId="710269A0"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57.428,54</w:t>
            </w:r>
          </w:p>
        </w:tc>
        <w:tc>
          <w:tcPr>
            <w:tcW w:w="1574" w:type="dxa"/>
            <w:tcBorders>
              <w:top w:val="nil"/>
              <w:left w:val="nil"/>
              <w:bottom w:val="single" w:sz="4" w:space="0" w:color="C0C0C0"/>
              <w:right w:val="single" w:sz="4" w:space="0" w:color="000000"/>
            </w:tcBorders>
            <w:shd w:val="clear" w:color="auto" w:fill="auto"/>
            <w:noWrap/>
            <w:vAlign w:val="center"/>
            <w:hideMark/>
          </w:tcPr>
          <w:p w14:paraId="049B1FEE"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237,6</w:t>
            </w:r>
          </w:p>
        </w:tc>
      </w:tr>
      <w:tr w:rsidR="00A920E6" w:rsidRPr="00A920E6" w14:paraId="5AD6EADF"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6FA358D2"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3296</w:t>
            </w:r>
          </w:p>
        </w:tc>
        <w:tc>
          <w:tcPr>
            <w:tcW w:w="5157" w:type="dxa"/>
            <w:tcBorders>
              <w:top w:val="nil"/>
              <w:left w:val="nil"/>
              <w:bottom w:val="single" w:sz="4" w:space="0" w:color="C0C0C0"/>
              <w:right w:val="single" w:sz="4" w:space="0" w:color="000080"/>
            </w:tcBorders>
            <w:shd w:val="clear" w:color="auto" w:fill="auto"/>
            <w:vAlign w:val="center"/>
            <w:hideMark/>
          </w:tcPr>
          <w:p w14:paraId="689363C0"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Troškovi sudskih postupaka</w:t>
            </w:r>
          </w:p>
        </w:tc>
        <w:tc>
          <w:tcPr>
            <w:tcW w:w="2919" w:type="dxa"/>
            <w:tcBorders>
              <w:top w:val="nil"/>
              <w:left w:val="nil"/>
              <w:bottom w:val="single" w:sz="4" w:space="0" w:color="C0C0C0"/>
              <w:right w:val="single" w:sz="4" w:space="0" w:color="000080"/>
            </w:tcBorders>
            <w:shd w:val="clear" w:color="auto" w:fill="auto"/>
            <w:vAlign w:val="center"/>
            <w:hideMark/>
          </w:tcPr>
          <w:p w14:paraId="7966B981"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3296</w:t>
            </w:r>
          </w:p>
        </w:tc>
        <w:tc>
          <w:tcPr>
            <w:tcW w:w="1462" w:type="dxa"/>
            <w:tcBorders>
              <w:top w:val="nil"/>
              <w:left w:val="nil"/>
              <w:bottom w:val="single" w:sz="4" w:space="0" w:color="C0C0C0"/>
              <w:right w:val="single" w:sz="4" w:space="0" w:color="000080"/>
            </w:tcBorders>
            <w:shd w:val="clear" w:color="auto" w:fill="auto"/>
            <w:noWrap/>
            <w:vAlign w:val="center"/>
            <w:hideMark/>
          </w:tcPr>
          <w:p w14:paraId="74E77442"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120.925,03</w:t>
            </w:r>
          </w:p>
        </w:tc>
        <w:tc>
          <w:tcPr>
            <w:tcW w:w="1462" w:type="dxa"/>
            <w:tcBorders>
              <w:top w:val="nil"/>
              <w:left w:val="nil"/>
              <w:bottom w:val="single" w:sz="4" w:space="0" w:color="C0C0C0"/>
              <w:right w:val="single" w:sz="4" w:space="0" w:color="000080"/>
            </w:tcBorders>
            <w:shd w:val="clear" w:color="auto" w:fill="auto"/>
            <w:noWrap/>
            <w:vAlign w:val="center"/>
            <w:hideMark/>
          </w:tcPr>
          <w:p w14:paraId="6E64057B"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79.414,45</w:t>
            </w:r>
          </w:p>
        </w:tc>
        <w:tc>
          <w:tcPr>
            <w:tcW w:w="1574" w:type="dxa"/>
            <w:tcBorders>
              <w:top w:val="nil"/>
              <w:left w:val="nil"/>
              <w:bottom w:val="single" w:sz="4" w:space="0" w:color="C0C0C0"/>
              <w:right w:val="single" w:sz="4" w:space="0" w:color="000000"/>
            </w:tcBorders>
            <w:shd w:val="clear" w:color="auto" w:fill="auto"/>
            <w:noWrap/>
            <w:vAlign w:val="center"/>
            <w:hideMark/>
          </w:tcPr>
          <w:p w14:paraId="0E33231E"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65,7</w:t>
            </w:r>
          </w:p>
        </w:tc>
      </w:tr>
      <w:tr w:rsidR="00A920E6" w:rsidRPr="00A920E6" w14:paraId="049FF346"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01FD56F7"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3299</w:t>
            </w:r>
          </w:p>
        </w:tc>
        <w:tc>
          <w:tcPr>
            <w:tcW w:w="5157" w:type="dxa"/>
            <w:tcBorders>
              <w:top w:val="nil"/>
              <w:left w:val="nil"/>
              <w:bottom w:val="single" w:sz="4" w:space="0" w:color="C0C0C0"/>
              <w:right w:val="single" w:sz="4" w:space="0" w:color="000080"/>
            </w:tcBorders>
            <w:shd w:val="clear" w:color="auto" w:fill="auto"/>
            <w:vAlign w:val="center"/>
            <w:hideMark/>
          </w:tcPr>
          <w:p w14:paraId="6EFDEF0F"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 xml:space="preserve">Ostali nespomenuti rashodi poslovanja </w:t>
            </w:r>
          </w:p>
        </w:tc>
        <w:tc>
          <w:tcPr>
            <w:tcW w:w="2919" w:type="dxa"/>
            <w:tcBorders>
              <w:top w:val="nil"/>
              <w:left w:val="nil"/>
              <w:bottom w:val="single" w:sz="4" w:space="0" w:color="C0C0C0"/>
              <w:right w:val="single" w:sz="4" w:space="0" w:color="000080"/>
            </w:tcBorders>
            <w:shd w:val="clear" w:color="auto" w:fill="auto"/>
            <w:vAlign w:val="center"/>
            <w:hideMark/>
          </w:tcPr>
          <w:p w14:paraId="1EC90E89"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3299</w:t>
            </w:r>
          </w:p>
        </w:tc>
        <w:tc>
          <w:tcPr>
            <w:tcW w:w="1462" w:type="dxa"/>
            <w:tcBorders>
              <w:top w:val="nil"/>
              <w:left w:val="nil"/>
              <w:bottom w:val="single" w:sz="4" w:space="0" w:color="C0C0C0"/>
              <w:right w:val="single" w:sz="4" w:space="0" w:color="000080"/>
            </w:tcBorders>
            <w:shd w:val="clear" w:color="auto" w:fill="auto"/>
            <w:noWrap/>
            <w:vAlign w:val="center"/>
            <w:hideMark/>
          </w:tcPr>
          <w:p w14:paraId="223F6088"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273,71</w:t>
            </w:r>
          </w:p>
        </w:tc>
        <w:tc>
          <w:tcPr>
            <w:tcW w:w="1462" w:type="dxa"/>
            <w:tcBorders>
              <w:top w:val="nil"/>
              <w:left w:val="nil"/>
              <w:bottom w:val="single" w:sz="4" w:space="0" w:color="C0C0C0"/>
              <w:right w:val="single" w:sz="4" w:space="0" w:color="000080"/>
            </w:tcBorders>
            <w:shd w:val="clear" w:color="auto" w:fill="auto"/>
            <w:noWrap/>
            <w:vAlign w:val="center"/>
            <w:hideMark/>
          </w:tcPr>
          <w:p w14:paraId="7467152C"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130,30</w:t>
            </w:r>
          </w:p>
        </w:tc>
        <w:tc>
          <w:tcPr>
            <w:tcW w:w="1574" w:type="dxa"/>
            <w:tcBorders>
              <w:top w:val="nil"/>
              <w:left w:val="nil"/>
              <w:bottom w:val="single" w:sz="4" w:space="0" w:color="C0C0C0"/>
              <w:right w:val="single" w:sz="4" w:space="0" w:color="000000"/>
            </w:tcBorders>
            <w:shd w:val="clear" w:color="auto" w:fill="auto"/>
            <w:noWrap/>
            <w:vAlign w:val="center"/>
            <w:hideMark/>
          </w:tcPr>
          <w:p w14:paraId="31A43C09"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47,6</w:t>
            </w:r>
          </w:p>
        </w:tc>
      </w:tr>
      <w:tr w:rsidR="00A920E6" w:rsidRPr="00A920E6" w14:paraId="3F636EBE"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07447B48"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34</w:t>
            </w:r>
          </w:p>
        </w:tc>
        <w:tc>
          <w:tcPr>
            <w:tcW w:w="5157" w:type="dxa"/>
            <w:tcBorders>
              <w:top w:val="nil"/>
              <w:left w:val="nil"/>
              <w:bottom w:val="single" w:sz="4" w:space="0" w:color="C0C0C0"/>
              <w:right w:val="single" w:sz="4" w:space="0" w:color="000080"/>
            </w:tcBorders>
            <w:shd w:val="clear" w:color="auto" w:fill="auto"/>
            <w:vAlign w:val="center"/>
            <w:hideMark/>
          </w:tcPr>
          <w:p w14:paraId="693A2B22"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 xml:space="preserve">Financijski rashodi (šifre 341+342+343) </w:t>
            </w:r>
          </w:p>
        </w:tc>
        <w:tc>
          <w:tcPr>
            <w:tcW w:w="2919" w:type="dxa"/>
            <w:tcBorders>
              <w:top w:val="nil"/>
              <w:left w:val="nil"/>
              <w:bottom w:val="single" w:sz="4" w:space="0" w:color="C0C0C0"/>
              <w:right w:val="single" w:sz="4" w:space="0" w:color="000080"/>
            </w:tcBorders>
            <w:shd w:val="clear" w:color="auto" w:fill="auto"/>
            <w:vAlign w:val="center"/>
            <w:hideMark/>
          </w:tcPr>
          <w:p w14:paraId="7795971B"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34</w:t>
            </w:r>
          </w:p>
        </w:tc>
        <w:tc>
          <w:tcPr>
            <w:tcW w:w="1462" w:type="dxa"/>
            <w:tcBorders>
              <w:top w:val="nil"/>
              <w:left w:val="nil"/>
              <w:bottom w:val="single" w:sz="4" w:space="0" w:color="C0C0C0"/>
              <w:right w:val="single" w:sz="4" w:space="0" w:color="000080"/>
            </w:tcBorders>
            <w:shd w:val="clear" w:color="auto" w:fill="auto"/>
            <w:noWrap/>
            <w:vAlign w:val="center"/>
            <w:hideMark/>
          </w:tcPr>
          <w:p w14:paraId="40D2EC42"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90.488,10</w:t>
            </w:r>
          </w:p>
        </w:tc>
        <w:tc>
          <w:tcPr>
            <w:tcW w:w="1462" w:type="dxa"/>
            <w:tcBorders>
              <w:top w:val="nil"/>
              <w:left w:val="nil"/>
              <w:bottom w:val="single" w:sz="4" w:space="0" w:color="C0C0C0"/>
              <w:right w:val="single" w:sz="4" w:space="0" w:color="000080"/>
            </w:tcBorders>
            <w:shd w:val="clear" w:color="auto" w:fill="auto"/>
            <w:noWrap/>
            <w:vAlign w:val="center"/>
            <w:hideMark/>
          </w:tcPr>
          <w:p w14:paraId="76BE66C8"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32.369,74</w:t>
            </w:r>
          </w:p>
        </w:tc>
        <w:tc>
          <w:tcPr>
            <w:tcW w:w="1574" w:type="dxa"/>
            <w:tcBorders>
              <w:top w:val="nil"/>
              <w:left w:val="nil"/>
              <w:bottom w:val="single" w:sz="4" w:space="0" w:color="C0C0C0"/>
              <w:right w:val="single" w:sz="4" w:space="0" w:color="000000"/>
            </w:tcBorders>
            <w:shd w:val="clear" w:color="auto" w:fill="auto"/>
            <w:noWrap/>
            <w:vAlign w:val="center"/>
            <w:hideMark/>
          </w:tcPr>
          <w:p w14:paraId="0179F973"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35,8</w:t>
            </w:r>
          </w:p>
        </w:tc>
      </w:tr>
      <w:tr w:rsidR="00A920E6" w:rsidRPr="00A920E6" w14:paraId="3B5A5F20"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7DB760D0"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343</w:t>
            </w:r>
          </w:p>
        </w:tc>
        <w:tc>
          <w:tcPr>
            <w:tcW w:w="5157" w:type="dxa"/>
            <w:tcBorders>
              <w:top w:val="nil"/>
              <w:left w:val="nil"/>
              <w:bottom w:val="single" w:sz="4" w:space="0" w:color="C0C0C0"/>
              <w:right w:val="single" w:sz="4" w:space="0" w:color="000080"/>
            </w:tcBorders>
            <w:shd w:val="clear" w:color="auto" w:fill="auto"/>
            <w:vAlign w:val="center"/>
            <w:hideMark/>
          </w:tcPr>
          <w:p w14:paraId="7F0A1880" w14:textId="77777777" w:rsidR="00A920E6" w:rsidRPr="00A920E6" w:rsidRDefault="00A920E6" w:rsidP="00A920E6">
            <w:pPr>
              <w:rPr>
                <w:rFonts w:ascii="Arial" w:hAnsi="Arial" w:cs="Arial"/>
                <w:sz w:val="18"/>
                <w:szCs w:val="18"/>
              </w:rPr>
            </w:pPr>
            <w:r w:rsidRPr="00A920E6">
              <w:rPr>
                <w:rFonts w:ascii="Arial" w:hAnsi="Arial" w:cs="Arial"/>
                <w:sz w:val="18"/>
                <w:szCs w:val="18"/>
              </w:rPr>
              <w:t>Ostali financijski rashodi (šifre 3431 do 3434)</w:t>
            </w:r>
          </w:p>
        </w:tc>
        <w:tc>
          <w:tcPr>
            <w:tcW w:w="2919" w:type="dxa"/>
            <w:tcBorders>
              <w:top w:val="nil"/>
              <w:left w:val="nil"/>
              <w:bottom w:val="single" w:sz="4" w:space="0" w:color="C0C0C0"/>
              <w:right w:val="single" w:sz="4" w:space="0" w:color="000080"/>
            </w:tcBorders>
            <w:shd w:val="clear" w:color="auto" w:fill="auto"/>
            <w:vAlign w:val="center"/>
            <w:hideMark/>
          </w:tcPr>
          <w:p w14:paraId="415AD9F7"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343</w:t>
            </w:r>
          </w:p>
        </w:tc>
        <w:tc>
          <w:tcPr>
            <w:tcW w:w="1462" w:type="dxa"/>
            <w:tcBorders>
              <w:top w:val="nil"/>
              <w:left w:val="nil"/>
              <w:bottom w:val="single" w:sz="4" w:space="0" w:color="C0C0C0"/>
              <w:right w:val="single" w:sz="4" w:space="0" w:color="000080"/>
            </w:tcBorders>
            <w:shd w:val="clear" w:color="auto" w:fill="auto"/>
            <w:noWrap/>
            <w:vAlign w:val="center"/>
            <w:hideMark/>
          </w:tcPr>
          <w:p w14:paraId="5568AF1F"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90.488,10</w:t>
            </w:r>
          </w:p>
        </w:tc>
        <w:tc>
          <w:tcPr>
            <w:tcW w:w="1462" w:type="dxa"/>
            <w:tcBorders>
              <w:top w:val="nil"/>
              <w:left w:val="nil"/>
              <w:bottom w:val="single" w:sz="4" w:space="0" w:color="C0C0C0"/>
              <w:right w:val="single" w:sz="4" w:space="0" w:color="000080"/>
            </w:tcBorders>
            <w:shd w:val="clear" w:color="auto" w:fill="auto"/>
            <w:noWrap/>
            <w:vAlign w:val="center"/>
            <w:hideMark/>
          </w:tcPr>
          <w:p w14:paraId="2C1322A9"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32.369,74</w:t>
            </w:r>
          </w:p>
        </w:tc>
        <w:tc>
          <w:tcPr>
            <w:tcW w:w="1574" w:type="dxa"/>
            <w:tcBorders>
              <w:top w:val="nil"/>
              <w:left w:val="nil"/>
              <w:bottom w:val="single" w:sz="4" w:space="0" w:color="C0C0C0"/>
              <w:right w:val="single" w:sz="4" w:space="0" w:color="000000"/>
            </w:tcBorders>
            <w:shd w:val="clear" w:color="auto" w:fill="auto"/>
            <w:noWrap/>
            <w:vAlign w:val="center"/>
            <w:hideMark/>
          </w:tcPr>
          <w:p w14:paraId="75258489"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35,8</w:t>
            </w:r>
          </w:p>
        </w:tc>
      </w:tr>
      <w:tr w:rsidR="00A920E6" w:rsidRPr="00A920E6" w14:paraId="15B4A0E6"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15002312"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3431</w:t>
            </w:r>
          </w:p>
        </w:tc>
        <w:tc>
          <w:tcPr>
            <w:tcW w:w="5157" w:type="dxa"/>
            <w:tcBorders>
              <w:top w:val="nil"/>
              <w:left w:val="nil"/>
              <w:bottom w:val="single" w:sz="4" w:space="0" w:color="C0C0C0"/>
              <w:right w:val="single" w:sz="4" w:space="0" w:color="000080"/>
            </w:tcBorders>
            <w:shd w:val="clear" w:color="auto" w:fill="auto"/>
            <w:vAlign w:val="center"/>
            <w:hideMark/>
          </w:tcPr>
          <w:p w14:paraId="414E3837" w14:textId="77777777" w:rsidR="00A920E6" w:rsidRPr="00A920E6" w:rsidRDefault="00A920E6" w:rsidP="00A920E6">
            <w:pPr>
              <w:rPr>
                <w:rFonts w:ascii="Arial" w:hAnsi="Arial" w:cs="Arial"/>
                <w:sz w:val="18"/>
                <w:szCs w:val="18"/>
              </w:rPr>
            </w:pPr>
            <w:r w:rsidRPr="00A920E6">
              <w:rPr>
                <w:rFonts w:ascii="Arial" w:hAnsi="Arial" w:cs="Arial"/>
                <w:sz w:val="18"/>
                <w:szCs w:val="18"/>
              </w:rPr>
              <w:t>Bankarske usluge i usluge platnog prometa</w:t>
            </w:r>
          </w:p>
        </w:tc>
        <w:tc>
          <w:tcPr>
            <w:tcW w:w="2919" w:type="dxa"/>
            <w:tcBorders>
              <w:top w:val="nil"/>
              <w:left w:val="nil"/>
              <w:bottom w:val="single" w:sz="4" w:space="0" w:color="C0C0C0"/>
              <w:right w:val="single" w:sz="4" w:space="0" w:color="000080"/>
            </w:tcBorders>
            <w:shd w:val="clear" w:color="auto" w:fill="auto"/>
            <w:vAlign w:val="center"/>
            <w:hideMark/>
          </w:tcPr>
          <w:p w14:paraId="70CF652D"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3431</w:t>
            </w:r>
          </w:p>
        </w:tc>
        <w:tc>
          <w:tcPr>
            <w:tcW w:w="1462" w:type="dxa"/>
            <w:tcBorders>
              <w:top w:val="nil"/>
              <w:left w:val="nil"/>
              <w:bottom w:val="single" w:sz="4" w:space="0" w:color="C0C0C0"/>
              <w:right w:val="single" w:sz="4" w:space="0" w:color="000080"/>
            </w:tcBorders>
            <w:shd w:val="clear" w:color="auto" w:fill="auto"/>
            <w:noWrap/>
            <w:vAlign w:val="center"/>
            <w:hideMark/>
          </w:tcPr>
          <w:p w14:paraId="5F696F53"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777,52</w:t>
            </w:r>
          </w:p>
        </w:tc>
        <w:tc>
          <w:tcPr>
            <w:tcW w:w="1462" w:type="dxa"/>
            <w:tcBorders>
              <w:top w:val="nil"/>
              <w:left w:val="nil"/>
              <w:bottom w:val="single" w:sz="4" w:space="0" w:color="C0C0C0"/>
              <w:right w:val="single" w:sz="4" w:space="0" w:color="000080"/>
            </w:tcBorders>
            <w:shd w:val="clear" w:color="auto" w:fill="auto"/>
            <w:noWrap/>
            <w:vAlign w:val="center"/>
            <w:hideMark/>
          </w:tcPr>
          <w:p w14:paraId="6AE0A648"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805,11</w:t>
            </w:r>
          </w:p>
        </w:tc>
        <w:tc>
          <w:tcPr>
            <w:tcW w:w="1574" w:type="dxa"/>
            <w:tcBorders>
              <w:top w:val="nil"/>
              <w:left w:val="nil"/>
              <w:bottom w:val="single" w:sz="4" w:space="0" w:color="C0C0C0"/>
              <w:right w:val="single" w:sz="4" w:space="0" w:color="000000"/>
            </w:tcBorders>
            <w:shd w:val="clear" w:color="auto" w:fill="auto"/>
            <w:noWrap/>
            <w:vAlign w:val="center"/>
            <w:hideMark/>
          </w:tcPr>
          <w:p w14:paraId="4757FDE9"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103,5</w:t>
            </w:r>
          </w:p>
        </w:tc>
      </w:tr>
      <w:tr w:rsidR="00A920E6" w:rsidRPr="00A920E6" w14:paraId="3F52439A"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5E31B15F"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3433</w:t>
            </w:r>
          </w:p>
        </w:tc>
        <w:tc>
          <w:tcPr>
            <w:tcW w:w="5157" w:type="dxa"/>
            <w:tcBorders>
              <w:top w:val="nil"/>
              <w:left w:val="nil"/>
              <w:bottom w:val="single" w:sz="4" w:space="0" w:color="C0C0C0"/>
              <w:right w:val="single" w:sz="4" w:space="0" w:color="000080"/>
            </w:tcBorders>
            <w:shd w:val="clear" w:color="auto" w:fill="auto"/>
            <w:vAlign w:val="center"/>
            <w:hideMark/>
          </w:tcPr>
          <w:p w14:paraId="336E7A5B" w14:textId="77777777" w:rsidR="00A920E6" w:rsidRPr="00A920E6" w:rsidRDefault="00A920E6" w:rsidP="00A920E6">
            <w:pPr>
              <w:rPr>
                <w:rFonts w:ascii="Arial" w:hAnsi="Arial" w:cs="Arial"/>
                <w:sz w:val="18"/>
                <w:szCs w:val="18"/>
              </w:rPr>
            </w:pPr>
            <w:r w:rsidRPr="00A920E6">
              <w:rPr>
                <w:rFonts w:ascii="Arial" w:hAnsi="Arial" w:cs="Arial"/>
                <w:sz w:val="18"/>
                <w:szCs w:val="18"/>
              </w:rPr>
              <w:t xml:space="preserve">Zatezne kamate </w:t>
            </w:r>
          </w:p>
        </w:tc>
        <w:tc>
          <w:tcPr>
            <w:tcW w:w="2919" w:type="dxa"/>
            <w:tcBorders>
              <w:top w:val="nil"/>
              <w:left w:val="nil"/>
              <w:bottom w:val="single" w:sz="4" w:space="0" w:color="C0C0C0"/>
              <w:right w:val="single" w:sz="4" w:space="0" w:color="000080"/>
            </w:tcBorders>
            <w:shd w:val="clear" w:color="auto" w:fill="auto"/>
            <w:vAlign w:val="center"/>
            <w:hideMark/>
          </w:tcPr>
          <w:p w14:paraId="3058BDAA"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3433</w:t>
            </w:r>
          </w:p>
        </w:tc>
        <w:tc>
          <w:tcPr>
            <w:tcW w:w="1462" w:type="dxa"/>
            <w:tcBorders>
              <w:top w:val="nil"/>
              <w:left w:val="nil"/>
              <w:bottom w:val="single" w:sz="4" w:space="0" w:color="C0C0C0"/>
              <w:right w:val="single" w:sz="4" w:space="0" w:color="000080"/>
            </w:tcBorders>
            <w:shd w:val="clear" w:color="auto" w:fill="auto"/>
            <w:noWrap/>
            <w:vAlign w:val="center"/>
            <w:hideMark/>
          </w:tcPr>
          <w:p w14:paraId="5770FCF8"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89.710,58</w:t>
            </w:r>
          </w:p>
        </w:tc>
        <w:tc>
          <w:tcPr>
            <w:tcW w:w="1462" w:type="dxa"/>
            <w:tcBorders>
              <w:top w:val="nil"/>
              <w:left w:val="nil"/>
              <w:bottom w:val="single" w:sz="4" w:space="0" w:color="C0C0C0"/>
              <w:right w:val="single" w:sz="4" w:space="0" w:color="000080"/>
            </w:tcBorders>
            <w:shd w:val="clear" w:color="auto" w:fill="auto"/>
            <w:noWrap/>
            <w:vAlign w:val="center"/>
            <w:hideMark/>
          </w:tcPr>
          <w:p w14:paraId="24A5AA9C"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31.442,94</w:t>
            </w:r>
          </w:p>
        </w:tc>
        <w:tc>
          <w:tcPr>
            <w:tcW w:w="1574" w:type="dxa"/>
            <w:tcBorders>
              <w:top w:val="nil"/>
              <w:left w:val="nil"/>
              <w:bottom w:val="single" w:sz="4" w:space="0" w:color="C0C0C0"/>
              <w:right w:val="single" w:sz="4" w:space="0" w:color="000000"/>
            </w:tcBorders>
            <w:shd w:val="clear" w:color="auto" w:fill="auto"/>
            <w:noWrap/>
            <w:vAlign w:val="center"/>
            <w:hideMark/>
          </w:tcPr>
          <w:p w14:paraId="028EE776"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35,0</w:t>
            </w:r>
          </w:p>
        </w:tc>
      </w:tr>
      <w:tr w:rsidR="00A920E6" w:rsidRPr="00A920E6" w14:paraId="6A3B19E5"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51F84B74"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3434</w:t>
            </w:r>
          </w:p>
        </w:tc>
        <w:tc>
          <w:tcPr>
            <w:tcW w:w="5157" w:type="dxa"/>
            <w:tcBorders>
              <w:top w:val="nil"/>
              <w:left w:val="nil"/>
              <w:bottom w:val="single" w:sz="4" w:space="0" w:color="C0C0C0"/>
              <w:right w:val="single" w:sz="4" w:space="0" w:color="000080"/>
            </w:tcBorders>
            <w:shd w:val="clear" w:color="auto" w:fill="auto"/>
            <w:vAlign w:val="center"/>
            <w:hideMark/>
          </w:tcPr>
          <w:p w14:paraId="3D73902F" w14:textId="77777777" w:rsidR="00A920E6" w:rsidRPr="00A920E6" w:rsidRDefault="00A920E6" w:rsidP="00A920E6">
            <w:pPr>
              <w:rPr>
                <w:rFonts w:ascii="Arial" w:hAnsi="Arial" w:cs="Arial"/>
                <w:sz w:val="18"/>
                <w:szCs w:val="18"/>
              </w:rPr>
            </w:pPr>
            <w:r w:rsidRPr="00A920E6">
              <w:rPr>
                <w:rFonts w:ascii="Arial" w:hAnsi="Arial" w:cs="Arial"/>
                <w:sz w:val="18"/>
                <w:szCs w:val="18"/>
              </w:rPr>
              <w:t>Ostali nespomenuti financijski rashodi</w:t>
            </w:r>
          </w:p>
        </w:tc>
        <w:tc>
          <w:tcPr>
            <w:tcW w:w="2919" w:type="dxa"/>
            <w:tcBorders>
              <w:top w:val="nil"/>
              <w:left w:val="nil"/>
              <w:bottom w:val="single" w:sz="4" w:space="0" w:color="C0C0C0"/>
              <w:right w:val="single" w:sz="4" w:space="0" w:color="000080"/>
            </w:tcBorders>
            <w:shd w:val="clear" w:color="auto" w:fill="auto"/>
            <w:vAlign w:val="center"/>
            <w:hideMark/>
          </w:tcPr>
          <w:p w14:paraId="156F3C42"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3434</w:t>
            </w:r>
          </w:p>
        </w:tc>
        <w:tc>
          <w:tcPr>
            <w:tcW w:w="1462" w:type="dxa"/>
            <w:tcBorders>
              <w:top w:val="nil"/>
              <w:left w:val="nil"/>
              <w:bottom w:val="single" w:sz="4" w:space="0" w:color="C0C0C0"/>
              <w:right w:val="single" w:sz="4" w:space="0" w:color="000080"/>
            </w:tcBorders>
            <w:shd w:val="clear" w:color="auto" w:fill="auto"/>
            <w:noWrap/>
            <w:vAlign w:val="center"/>
            <w:hideMark/>
          </w:tcPr>
          <w:p w14:paraId="67677A01"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07C063E4"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121,69</w:t>
            </w:r>
          </w:p>
        </w:tc>
        <w:tc>
          <w:tcPr>
            <w:tcW w:w="1574" w:type="dxa"/>
            <w:tcBorders>
              <w:top w:val="nil"/>
              <w:left w:val="nil"/>
              <w:bottom w:val="single" w:sz="4" w:space="0" w:color="C0C0C0"/>
              <w:right w:val="single" w:sz="4" w:space="0" w:color="000000"/>
            </w:tcBorders>
            <w:shd w:val="clear" w:color="auto" w:fill="auto"/>
            <w:noWrap/>
            <w:vAlign w:val="center"/>
            <w:hideMark/>
          </w:tcPr>
          <w:p w14:paraId="7AC4C80A"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74C6986A"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785D668A"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35</w:t>
            </w:r>
          </w:p>
        </w:tc>
        <w:tc>
          <w:tcPr>
            <w:tcW w:w="5157" w:type="dxa"/>
            <w:tcBorders>
              <w:top w:val="nil"/>
              <w:left w:val="nil"/>
              <w:bottom w:val="single" w:sz="4" w:space="0" w:color="C0C0C0"/>
              <w:right w:val="single" w:sz="4" w:space="0" w:color="000080"/>
            </w:tcBorders>
            <w:shd w:val="clear" w:color="auto" w:fill="auto"/>
            <w:vAlign w:val="center"/>
            <w:hideMark/>
          </w:tcPr>
          <w:p w14:paraId="3233C21B" w14:textId="77777777" w:rsidR="00A920E6" w:rsidRPr="00A920E6" w:rsidRDefault="00A920E6" w:rsidP="00A920E6">
            <w:pPr>
              <w:rPr>
                <w:rFonts w:ascii="Arial" w:hAnsi="Arial" w:cs="Arial"/>
                <w:sz w:val="18"/>
                <w:szCs w:val="18"/>
              </w:rPr>
            </w:pPr>
            <w:r w:rsidRPr="00A920E6">
              <w:rPr>
                <w:rFonts w:ascii="Arial" w:hAnsi="Arial" w:cs="Arial"/>
                <w:sz w:val="18"/>
                <w:szCs w:val="18"/>
              </w:rPr>
              <w:t>Subvencije (šifre 351+352+353)</w:t>
            </w:r>
          </w:p>
        </w:tc>
        <w:tc>
          <w:tcPr>
            <w:tcW w:w="2919" w:type="dxa"/>
            <w:tcBorders>
              <w:top w:val="nil"/>
              <w:left w:val="nil"/>
              <w:bottom w:val="single" w:sz="4" w:space="0" w:color="C0C0C0"/>
              <w:right w:val="single" w:sz="4" w:space="0" w:color="000080"/>
            </w:tcBorders>
            <w:shd w:val="clear" w:color="auto" w:fill="auto"/>
            <w:vAlign w:val="center"/>
            <w:hideMark/>
          </w:tcPr>
          <w:p w14:paraId="06AA56F6"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35</w:t>
            </w:r>
          </w:p>
        </w:tc>
        <w:tc>
          <w:tcPr>
            <w:tcW w:w="1462" w:type="dxa"/>
            <w:tcBorders>
              <w:top w:val="nil"/>
              <w:left w:val="nil"/>
              <w:bottom w:val="single" w:sz="4" w:space="0" w:color="C0C0C0"/>
              <w:right w:val="single" w:sz="4" w:space="0" w:color="000080"/>
            </w:tcBorders>
            <w:shd w:val="clear" w:color="auto" w:fill="auto"/>
            <w:noWrap/>
            <w:vAlign w:val="center"/>
            <w:hideMark/>
          </w:tcPr>
          <w:p w14:paraId="4FD6C3FA"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102.210.198,49</w:t>
            </w:r>
          </w:p>
        </w:tc>
        <w:tc>
          <w:tcPr>
            <w:tcW w:w="1462" w:type="dxa"/>
            <w:tcBorders>
              <w:top w:val="nil"/>
              <w:left w:val="nil"/>
              <w:bottom w:val="single" w:sz="4" w:space="0" w:color="C0C0C0"/>
              <w:right w:val="single" w:sz="4" w:space="0" w:color="000080"/>
            </w:tcBorders>
            <w:shd w:val="clear" w:color="auto" w:fill="auto"/>
            <w:noWrap/>
            <w:vAlign w:val="center"/>
            <w:hideMark/>
          </w:tcPr>
          <w:p w14:paraId="7D2938E4"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98.785.037,27</w:t>
            </w:r>
          </w:p>
        </w:tc>
        <w:tc>
          <w:tcPr>
            <w:tcW w:w="1574" w:type="dxa"/>
            <w:tcBorders>
              <w:top w:val="nil"/>
              <w:left w:val="nil"/>
              <w:bottom w:val="single" w:sz="4" w:space="0" w:color="C0C0C0"/>
              <w:right w:val="single" w:sz="4" w:space="0" w:color="000000"/>
            </w:tcBorders>
            <w:shd w:val="clear" w:color="auto" w:fill="auto"/>
            <w:noWrap/>
            <w:vAlign w:val="center"/>
            <w:hideMark/>
          </w:tcPr>
          <w:p w14:paraId="31787253"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96,6</w:t>
            </w:r>
          </w:p>
        </w:tc>
      </w:tr>
      <w:tr w:rsidR="00A920E6" w:rsidRPr="00A920E6" w14:paraId="0EDCC3CF"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01D2188B"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351</w:t>
            </w:r>
          </w:p>
        </w:tc>
        <w:tc>
          <w:tcPr>
            <w:tcW w:w="5157" w:type="dxa"/>
            <w:tcBorders>
              <w:top w:val="nil"/>
              <w:left w:val="nil"/>
              <w:bottom w:val="single" w:sz="4" w:space="0" w:color="C0C0C0"/>
              <w:right w:val="single" w:sz="4" w:space="0" w:color="000080"/>
            </w:tcBorders>
            <w:shd w:val="clear" w:color="auto" w:fill="auto"/>
            <w:vAlign w:val="center"/>
            <w:hideMark/>
          </w:tcPr>
          <w:p w14:paraId="74042DB0" w14:textId="77777777" w:rsidR="00A920E6" w:rsidRPr="00A920E6" w:rsidRDefault="00A920E6" w:rsidP="00A920E6">
            <w:pPr>
              <w:rPr>
                <w:rFonts w:ascii="Arial" w:hAnsi="Arial" w:cs="Arial"/>
                <w:sz w:val="18"/>
                <w:szCs w:val="18"/>
              </w:rPr>
            </w:pPr>
            <w:r w:rsidRPr="00A920E6">
              <w:rPr>
                <w:rFonts w:ascii="Arial" w:hAnsi="Arial" w:cs="Arial"/>
                <w:sz w:val="18"/>
                <w:szCs w:val="18"/>
              </w:rPr>
              <w:t>Subvencije kreditnim i ostalim financijskim institucijama i trgovačkim društvima u javnom sektoru (šifre 3511+3512)</w:t>
            </w:r>
          </w:p>
        </w:tc>
        <w:tc>
          <w:tcPr>
            <w:tcW w:w="2919" w:type="dxa"/>
            <w:tcBorders>
              <w:top w:val="nil"/>
              <w:left w:val="nil"/>
              <w:bottom w:val="single" w:sz="4" w:space="0" w:color="C0C0C0"/>
              <w:right w:val="single" w:sz="4" w:space="0" w:color="000080"/>
            </w:tcBorders>
            <w:shd w:val="clear" w:color="auto" w:fill="auto"/>
            <w:vAlign w:val="center"/>
            <w:hideMark/>
          </w:tcPr>
          <w:p w14:paraId="5F59A4AF"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351</w:t>
            </w:r>
          </w:p>
        </w:tc>
        <w:tc>
          <w:tcPr>
            <w:tcW w:w="1462" w:type="dxa"/>
            <w:tcBorders>
              <w:top w:val="nil"/>
              <w:left w:val="nil"/>
              <w:bottom w:val="single" w:sz="4" w:space="0" w:color="C0C0C0"/>
              <w:right w:val="single" w:sz="4" w:space="0" w:color="000080"/>
            </w:tcBorders>
            <w:shd w:val="clear" w:color="auto" w:fill="auto"/>
            <w:noWrap/>
            <w:vAlign w:val="center"/>
            <w:hideMark/>
          </w:tcPr>
          <w:p w14:paraId="0D0FC623"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47.625.442,80</w:t>
            </w:r>
          </w:p>
        </w:tc>
        <w:tc>
          <w:tcPr>
            <w:tcW w:w="1462" w:type="dxa"/>
            <w:tcBorders>
              <w:top w:val="nil"/>
              <w:left w:val="nil"/>
              <w:bottom w:val="single" w:sz="4" w:space="0" w:color="C0C0C0"/>
              <w:right w:val="single" w:sz="4" w:space="0" w:color="000080"/>
            </w:tcBorders>
            <w:shd w:val="clear" w:color="auto" w:fill="auto"/>
            <w:noWrap/>
            <w:vAlign w:val="center"/>
            <w:hideMark/>
          </w:tcPr>
          <w:p w14:paraId="3130EA28"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42.858.735,02</w:t>
            </w:r>
          </w:p>
        </w:tc>
        <w:tc>
          <w:tcPr>
            <w:tcW w:w="1574" w:type="dxa"/>
            <w:tcBorders>
              <w:top w:val="nil"/>
              <w:left w:val="nil"/>
              <w:bottom w:val="single" w:sz="4" w:space="0" w:color="C0C0C0"/>
              <w:right w:val="single" w:sz="4" w:space="0" w:color="000000"/>
            </w:tcBorders>
            <w:shd w:val="clear" w:color="auto" w:fill="auto"/>
            <w:noWrap/>
            <w:vAlign w:val="center"/>
            <w:hideMark/>
          </w:tcPr>
          <w:p w14:paraId="3C93D846"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90,0</w:t>
            </w:r>
          </w:p>
        </w:tc>
      </w:tr>
      <w:tr w:rsidR="00A920E6" w:rsidRPr="00A920E6" w14:paraId="309C5BA2"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7042FFC0"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3512</w:t>
            </w:r>
          </w:p>
        </w:tc>
        <w:tc>
          <w:tcPr>
            <w:tcW w:w="5157" w:type="dxa"/>
            <w:tcBorders>
              <w:top w:val="nil"/>
              <w:left w:val="nil"/>
              <w:bottom w:val="single" w:sz="4" w:space="0" w:color="C0C0C0"/>
              <w:right w:val="single" w:sz="4" w:space="0" w:color="000080"/>
            </w:tcBorders>
            <w:shd w:val="clear" w:color="auto" w:fill="auto"/>
            <w:vAlign w:val="center"/>
            <w:hideMark/>
          </w:tcPr>
          <w:p w14:paraId="555A4CA1" w14:textId="77777777" w:rsidR="00A920E6" w:rsidRPr="00A920E6" w:rsidRDefault="00A920E6" w:rsidP="00A920E6">
            <w:pPr>
              <w:rPr>
                <w:rFonts w:ascii="Arial" w:hAnsi="Arial" w:cs="Arial"/>
                <w:sz w:val="18"/>
                <w:szCs w:val="18"/>
              </w:rPr>
            </w:pPr>
            <w:r w:rsidRPr="00A920E6">
              <w:rPr>
                <w:rFonts w:ascii="Arial" w:hAnsi="Arial" w:cs="Arial"/>
                <w:sz w:val="18"/>
                <w:szCs w:val="18"/>
              </w:rPr>
              <w:t>Subvencije trgovačkim društvima u javnom sektoru</w:t>
            </w:r>
          </w:p>
        </w:tc>
        <w:tc>
          <w:tcPr>
            <w:tcW w:w="2919" w:type="dxa"/>
            <w:tcBorders>
              <w:top w:val="nil"/>
              <w:left w:val="nil"/>
              <w:bottom w:val="single" w:sz="4" w:space="0" w:color="C0C0C0"/>
              <w:right w:val="single" w:sz="4" w:space="0" w:color="000080"/>
            </w:tcBorders>
            <w:shd w:val="clear" w:color="auto" w:fill="auto"/>
            <w:vAlign w:val="center"/>
            <w:hideMark/>
          </w:tcPr>
          <w:p w14:paraId="043A9B47"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3512</w:t>
            </w:r>
          </w:p>
        </w:tc>
        <w:tc>
          <w:tcPr>
            <w:tcW w:w="1462" w:type="dxa"/>
            <w:tcBorders>
              <w:top w:val="nil"/>
              <w:left w:val="nil"/>
              <w:bottom w:val="single" w:sz="4" w:space="0" w:color="C0C0C0"/>
              <w:right w:val="single" w:sz="4" w:space="0" w:color="000080"/>
            </w:tcBorders>
            <w:shd w:val="clear" w:color="auto" w:fill="auto"/>
            <w:noWrap/>
            <w:vAlign w:val="center"/>
            <w:hideMark/>
          </w:tcPr>
          <w:p w14:paraId="57639DA7"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47.625.442,80</w:t>
            </w:r>
          </w:p>
        </w:tc>
        <w:tc>
          <w:tcPr>
            <w:tcW w:w="1462" w:type="dxa"/>
            <w:tcBorders>
              <w:top w:val="nil"/>
              <w:left w:val="nil"/>
              <w:bottom w:val="single" w:sz="4" w:space="0" w:color="C0C0C0"/>
              <w:right w:val="single" w:sz="4" w:space="0" w:color="000080"/>
            </w:tcBorders>
            <w:shd w:val="clear" w:color="auto" w:fill="auto"/>
            <w:noWrap/>
            <w:vAlign w:val="center"/>
            <w:hideMark/>
          </w:tcPr>
          <w:p w14:paraId="23A3E59D"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42.858.735,02</w:t>
            </w:r>
          </w:p>
        </w:tc>
        <w:tc>
          <w:tcPr>
            <w:tcW w:w="1574" w:type="dxa"/>
            <w:tcBorders>
              <w:top w:val="nil"/>
              <w:left w:val="nil"/>
              <w:bottom w:val="single" w:sz="4" w:space="0" w:color="C0C0C0"/>
              <w:right w:val="single" w:sz="4" w:space="0" w:color="000000"/>
            </w:tcBorders>
            <w:shd w:val="clear" w:color="auto" w:fill="auto"/>
            <w:noWrap/>
            <w:vAlign w:val="center"/>
            <w:hideMark/>
          </w:tcPr>
          <w:p w14:paraId="61AC789F"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90,0</w:t>
            </w:r>
          </w:p>
        </w:tc>
      </w:tr>
      <w:tr w:rsidR="00A920E6" w:rsidRPr="00A920E6" w14:paraId="452A2801" w14:textId="77777777" w:rsidTr="00145A75">
        <w:trPr>
          <w:trHeight w:val="72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79741098"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352</w:t>
            </w:r>
          </w:p>
        </w:tc>
        <w:tc>
          <w:tcPr>
            <w:tcW w:w="5157" w:type="dxa"/>
            <w:tcBorders>
              <w:top w:val="nil"/>
              <w:left w:val="nil"/>
              <w:bottom w:val="single" w:sz="4" w:space="0" w:color="C0C0C0"/>
              <w:right w:val="single" w:sz="4" w:space="0" w:color="000080"/>
            </w:tcBorders>
            <w:shd w:val="clear" w:color="auto" w:fill="auto"/>
            <w:vAlign w:val="center"/>
            <w:hideMark/>
          </w:tcPr>
          <w:p w14:paraId="74AD80A4" w14:textId="77777777" w:rsidR="00A920E6" w:rsidRPr="00A920E6" w:rsidRDefault="00A920E6" w:rsidP="00A920E6">
            <w:pPr>
              <w:rPr>
                <w:rFonts w:ascii="Arial" w:hAnsi="Arial" w:cs="Arial"/>
                <w:sz w:val="18"/>
                <w:szCs w:val="18"/>
              </w:rPr>
            </w:pPr>
            <w:r w:rsidRPr="00A920E6">
              <w:rPr>
                <w:rFonts w:ascii="Arial" w:hAnsi="Arial" w:cs="Arial"/>
                <w:sz w:val="18"/>
                <w:szCs w:val="18"/>
              </w:rPr>
              <w:t>Subvencije kreditnim i financijskim institucijama, trgovačkim društvima, zadrugama, poljoprivrednicima i obrtnicima izvan javnog sektora (šifre 3521 do 3523)</w:t>
            </w:r>
          </w:p>
        </w:tc>
        <w:tc>
          <w:tcPr>
            <w:tcW w:w="2919" w:type="dxa"/>
            <w:tcBorders>
              <w:top w:val="nil"/>
              <w:left w:val="nil"/>
              <w:bottom w:val="single" w:sz="4" w:space="0" w:color="C0C0C0"/>
              <w:right w:val="single" w:sz="4" w:space="0" w:color="000080"/>
            </w:tcBorders>
            <w:shd w:val="clear" w:color="auto" w:fill="auto"/>
            <w:vAlign w:val="center"/>
            <w:hideMark/>
          </w:tcPr>
          <w:p w14:paraId="3F2D034C"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352</w:t>
            </w:r>
          </w:p>
        </w:tc>
        <w:tc>
          <w:tcPr>
            <w:tcW w:w="1462" w:type="dxa"/>
            <w:tcBorders>
              <w:top w:val="nil"/>
              <w:left w:val="nil"/>
              <w:bottom w:val="single" w:sz="4" w:space="0" w:color="C0C0C0"/>
              <w:right w:val="single" w:sz="4" w:space="0" w:color="000080"/>
            </w:tcBorders>
            <w:shd w:val="clear" w:color="auto" w:fill="auto"/>
            <w:noWrap/>
            <w:vAlign w:val="center"/>
            <w:hideMark/>
          </w:tcPr>
          <w:p w14:paraId="3CE44DDB"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53.848.240,76</w:t>
            </w:r>
          </w:p>
        </w:tc>
        <w:tc>
          <w:tcPr>
            <w:tcW w:w="1462" w:type="dxa"/>
            <w:tcBorders>
              <w:top w:val="nil"/>
              <w:left w:val="nil"/>
              <w:bottom w:val="single" w:sz="4" w:space="0" w:color="C0C0C0"/>
              <w:right w:val="single" w:sz="4" w:space="0" w:color="000080"/>
            </w:tcBorders>
            <w:shd w:val="clear" w:color="auto" w:fill="auto"/>
            <w:noWrap/>
            <w:vAlign w:val="center"/>
            <w:hideMark/>
          </w:tcPr>
          <w:p w14:paraId="1D8B9CD5"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55.908.101,49</w:t>
            </w:r>
          </w:p>
        </w:tc>
        <w:tc>
          <w:tcPr>
            <w:tcW w:w="1574" w:type="dxa"/>
            <w:tcBorders>
              <w:top w:val="nil"/>
              <w:left w:val="nil"/>
              <w:bottom w:val="single" w:sz="4" w:space="0" w:color="C0C0C0"/>
              <w:right w:val="single" w:sz="4" w:space="0" w:color="000000"/>
            </w:tcBorders>
            <w:shd w:val="clear" w:color="auto" w:fill="auto"/>
            <w:noWrap/>
            <w:vAlign w:val="center"/>
            <w:hideMark/>
          </w:tcPr>
          <w:p w14:paraId="100C5BCB"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103,8</w:t>
            </w:r>
          </w:p>
        </w:tc>
      </w:tr>
      <w:tr w:rsidR="00A920E6" w:rsidRPr="00A920E6" w14:paraId="13D66EED"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2810F2DE"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3522</w:t>
            </w:r>
          </w:p>
        </w:tc>
        <w:tc>
          <w:tcPr>
            <w:tcW w:w="5157" w:type="dxa"/>
            <w:tcBorders>
              <w:top w:val="nil"/>
              <w:left w:val="nil"/>
              <w:bottom w:val="single" w:sz="4" w:space="0" w:color="C0C0C0"/>
              <w:right w:val="single" w:sz="4" w:space="0" w:color="000080"/>
            </w:tcBorders>
            <w:shd w:val="clear" w:color="auto" w:fill="auto"/>
            <w:vAlign w:val="center"/>
            <w:hideMark/>
          </w:tcPr>
          <w:p w14:paraId="2D41F382" w14:textId="77777777" w:rsidR="00A920E6" w:rsidRPr="00A920E6" w:rsidRDefault="00A920E6" w:rsidP="00A920E6">
            <w:pPr>
              <w:rPr>
                <w:rFonts w:ascii="Arial" w:hAnsi="Arial" w:cs="Arial"/>
                <w:sz w:val="18"/>
                <w:szCs w:val="18"/>
              </w:rPr>
            </w:pPr>
            <w:r w:rsidRPr="00A920E6">
              <w:rPr>
                <w:rFonts w:ascii="Arial" w:hAnsi="Arial" w:cs="Arial"/>
                <w:sz w:val="18"/>
                <w:szCs w:val="18"/>
              </w:rPr>
              <w:t>Subvencije trgovačkim društvima i zadrugama izvan javnog sektora</w:t>
            </w:r>
          </w:p>
        </w:tc>
        <w:tc>
          <w:tcPr>
            <w:tcW w:w="2919" w:type="dxa"/>
            <w:tcBorders>
              <w:top w:val="nil"/>
              <w:left w:val="nil"/>
              <w:bottom w:val="single" w:sz="4" w:space="0" w:color="C0C0C0"/>
              <w:right w:val="single" w:sz="4" w:space="0" w:color="000080"/>
            </w:tcBorders>
            <w:shd w:val="clear" w:color="auto" w:fill="auto"/>
            <w:vAlign w:val="center"/>
            <w:hideMark/>
          </w:tcPr>
          <w:p w14:paraId="5627994B"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3522</w:t>
            </w:r>
          </w:p>
        </w:tc>
        <w:tc>
          <w:tcPr>
            <w:tcW w:w="1462" w:type="dxa"/>
            <w:tcBorders>
              <w:top w:val="nil"/>
              <w:left w:val="nil"/>
              <w:bottom w:val="single" w:sz="4" w:space="0" w:color="C0C0C0"/>
              <w:right w:val="single" w:sz="4" w:space="0" w:color="000080"/>
            </w:tcBorders>
            <w:shd w:val="clear" w:color="auto" w:fill="auto"/>
            <w:noWrap/>
            <w:vAlign w:val="center"/>
            <w:hideMark/>
          </w:tcPr>
          <w:p w14:paraId="4830AEA2"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53.360.260,91</w:t>
            </w:r>
          </w:p>
        </w:tc>
        <w:tc>
          <w:tcPr>
            <w:tcW w:w="1462" w:type="dxa"/>
            <w:tcBorders>
              <w:top w:val="nil"/>
              <w:left w:val="nil"/>
              <w:bottom w:val="single" w:sz="4" w:space="0" w:color="C0C0C0"/>
              <w:right w:val="single" w:sz="4" w:space="0" w:color="000080"/>
            </w:tcBorders>
            <w:shd w:val="clear" w:color="auto" w:fill="auto"/>
            <w:noWrap/>
            <w:vAlign w:val="center"/>
            <w:hideMark/>
          </w:tcPr>
          <w:p w14:paraId="0EA85545"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55.457.484,92</w:t>
            </w:r>
          </w:p>
        </w:tc>
        <w:tc>
          <w:tcPr>
            <w:tcW w:w="1574" w:type="dxa"/>
            <w:tcBorders>
              <w:top w:val="nil"/>
              <w:left w:val="nil"/>
              <w:bottom w:val="single" w:sz="4" w:space="0" w:color="C0C0C0"/>
              <w:right w:val="single" w:sz="4" w:space="0" w:color="000000"/>
            </w:tcBorders>
            <w:shd w:val="clear" w:color="auto" w:fill="auto"/>
            <w:noWrap/>
            <w:vAlign w:val="center"/>
            <w:hideMark/>
          </w:tcPr>
          <w:p w14:paraId="6ADBF86D"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103,9</w:t>
            </w:r>
          </w:p>
        </w:tc>
      </w:tr>
      <w:tr w:rsidR="00A920E6" w:rsidRPr="00A920E6" w14:paraId="3DFE1461"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246A415B"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3523</w:t>
            </w:r>
          </w:p>
        </w:tc>
        <w:tc>
          <w:tcPr>
            <w:tcW w:w="5157" w:type="dxa"/>
            <w:tcBorders>
              <w:top w:val="nil"/>
              <w:left w:val="nil"/>
              <w:bottom w:val="single" w:sz="4" w:space="0" w:color="C0C0C0"/>
              <w:right w:val="single" w:sz="4" w:space="0" w:color="000080"/>
            </w:tcBorders>
            <w:shd w:val="clear" w:color="auto" w:fill="auto"/>
            <w:vAlign w:val="center"/>
            <w:hideMark/>
          </w:tcPr>
          <w:p w14:paraId="1B5A0FEF"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Subvencije poljoprivrednicima i obrtnicima</w:t>
            </w:r>
          </w:p>
        </w:tc>
        <w:tc>
          <w:tcPr>
            <w:tcW w:w="2919" w:type="dxa"/>
            <w:tcBorders>
              <w:top w:val="nil"/>
              <w:left w:val="nil"/>
              <w:bottom w:val="single" w:sz="4" w:space="0" w:color="C0C0C0"/>
              <w:right w:val="single" w:sz="4" w:space="0" w:color="000080"/>
            </w:tcBorders>
            <w:shd w:val="clear" w:color="auto" w:fill="auto"/>
            <w:vAlign w:val="center"/>
            <w:hideMark/>
          </w:tcPr>
          <w:p w14:paraId="69220F6D"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3523</w:t>
            </w:r>
          </w:p>
        </w:tc>
        <w:tc>
          <w:tcPr>
            <w:tcW w:w="1462" w:type="dxa"/>
            <w:tcBorders>
              <w:top w:val="nil"/>
              <w:left w:val="nil"/>
              <w:bottom w:val="single" w:sz="4" w:space="0" w:color="C0C0C0"/>
              <w:right w:val="single" w:sz="4" w:space="0" w:color="000080"/>
            </w:tcBorders>
            <w:shd w:val="clear" w:color="auto" w:fill="auto"/>
            <w:noWrap/>
            <w:vAlign w:val="center"/>
            <w:hideMark/>
          </w:tcPr>
          <w:p w14:paraId="5AB6AD00"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487.979,85</w:t>
            </w:r>
          </w:p>
        </w:tc>
        <w:tc>
          <w:tcPr>
            <w:tcW w:w="1462" w:type="dxa"/>
            <w:tcBorders>
              <w:top w:val="nil"/>
              <w:left w:val="nil"/>
              <w:bottom w:val="single" w:sz="4" w:space="0" w:color="C0C0C0"/>
              <w:right w:val="single" w:sz="4" w:space="0" w:color="000080"/>
            </w:tcBorders>
            <w:shd w:val="clear" w:color="auto" w:fill="auto"/>
            <w:noWrap/>
            <w:vAlign w:val="center"/>
            <w:hideMark/>
          </w:tcPr>
          <w:p w14:paraId="2D17C220"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450.616,57</w:t>
            </w:r>
          </w:p>
        </w:tc>
        <w:tc>
          <w:tcPr>
            <w:tcW w:w="1574" w:type="dxa"/>
            <w:tcBorders>
              <w:top w:val="nil"/>
              <w:left w:val="nil"/>
              <w:bottom w:val="single" w:sz="4" w:space="0" w:color="C0C0C0"/>
              <w:right w:val="single" w:sz="4" w:space="0" w:color="000000"/>
            </w:tcBorders>
            <w:shd w:val="clear" w:color="auto" w:fill="auto"/>
            <w:noWrap/>
            <w:vAlign w:val="center"/>
            <w:hideMark/>
          </w:tcPr>
          <w:p w14:paraId="037F1966"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92,3</w:t>
            </w:r>
          </w:p>
        </w:tc>
      </w:tr>
      <w:tr w:rsidR="00A920E6" w:rsidRPr="00A920E6" w14:paraId="078440A5"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57609B2A"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lastRenderedPageBreak/>
              <w:t>353</w:t>
            </w:r>
          </w:p>
        </w:tc>
        <w:tc>
          <w:tcPr>
            <w:tcW w:w="5157" w:type="dxa"/>
            <w:tcBorders>
              <w:top w:val="nil"/>
              <w:left w:val="nil"/>
              <w:bottom w:val="single" w:sz="4" w:space="0" w:color="C0C0C0"/>
              <w:right w:val="single" w:sz="4" w:space="0" w:color="000080"/>
            </w:tcBorders>
            <w:shd w:val="clear" w:color="auto" w:fill="auto"/>
            <w:vAlign w:val="center"/>
            <w:hideMark/>
          </w:tcPr>
          <w:p w14:paraId="302D7080"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 xml:space="preserve">Subvencije trgovačkim društvima, zadrugama, poljoprivrednicima i obrtnicima iz EU sredstava </w:t>
            </w:r>
          </w:p>
        </w:tc>
        <w:tc>
          <w:tcPr>
            <w:tcW w:w="2919" w:type="dxa"/>
            <w:tcBorders>
              <w:top w:val="nil"/>
              <w:left w:val="nil"/>
              <w:bottom w:val="single" w:sz="4" w:space="0" w:color="C0C0C0"/>
              <w:right w:val="single" w:sz="4" w:space="0" w:color="000080"/>
            </w:tcBorders>
            <w:shd w:val="clear" w:color="auto" w:fill="auto"/>
            <w:vAlign w:val="center"/>
            <w:hideMark/>
          </w:tcPr>
          <w:p w14:paraId="5A41BAF6"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353</w:t>
            </w:r>
          </w:p>
        </w:tc>
        <w:tc>
          <w:tcPr>
            <w:tcW w:w="1462" w:type="dxa"/>
            <w:tcBorders>
              <w:top w:val="nil"/>
              <w:left w:val="nil"/>
              <w:bottom w:val="single" w:sz="4" w:space="0" w:color="C0C0C0"/>
              <w:right w:val="single" w:sz="4" w:space="0" w:color="000080"/>
            </w:tcBorders>
            <w:shd w:val="clear" w:color="auto" w:fill="auto"/>
            <w:noWrap/>
            <w:vAlign w:val="center"/>
            <w:hideMark/>
          </w:tcPr>
          <w:p w14:paraId="26AE4EC1"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736.514,93</w:t>
            </w:r>
          </w:p>
        </w:tc>
        <w:tc>
          <w:tcPr>
            <w:tcW w:w="1462" w:type="dxa"/>
            <w:tcBorders>
              <w:top w:val="nil"/>
              <w:left w:val="nil"/>
              <w:bottom w:val="single" w:sz="4" w:space="0" w:color="C0C0C0"/>
              <w:right w:val="single" w:sz="4" w:space="0" w:color="000080"/>
            </w:tcBorders>
            <w:shd w:val="clear" w:color="auto" w:fill="auto"/>
            <w:noWrap/>
            <w:vAlign w:val="center"/>
            <w:hideMark/>
          </w:tcPr>
          <w:p w14:paraId="080FFE5C"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18.200,76</w:t>
            </w:r>
          </w:p>
        </w:tc>
        <w:tc>
          <w:tcPr>
            <w:tcW w:w="1574" w:type="dxa"/>
            <w:tcBorders>
              <w:top w:val="nil"/>
              <w:left w:val="nil"/>
              <w:bottom w:val="single" w:sz="4" w:space="0" w:color="C0C0C0"/>
              <w:right w:val="single" w:sz="4" w:space="0" w:color="000000"/>
            </w:tcBorders>
            <w:shd w:val="clear" w:color="auto" w:fill="auto"/>
            <w:noWrap/>
            <w:vAlign w:val="center"/>
            <w:hideMark/>
          </w:tcPr>
          <w:p w14:paraId="689DC465"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2,5</w:t>
            </w:r>
          </w:p>
        </w:tc>
      </w:tr>
      <w:tr w:rsidR="00A920E6" w:rsidRPr="00A920E6" w14:paraId="58EC5B07"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77B0A745"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36</w:t>
            </w:r>
          </w:p>
        </w:tc>
        <w:tc>
          <w:tcPr>
            <w:tcW w:w="5157" w:type="dxa"/>
            <w:tcBorders>
              <w:top w:val="nil"/>
              <w:left w:val="nil"/>
              <w:bottom w:val="single" w:sz="4" w:space="0" w:color="C0C0C0"/>
              <w:right w:val="single" w:sz="4" w:space="0" w:color="000080"/>
            </w:tcBorders>
            <w:shd w:val="clear" w:color="auto" w:fill="auto"/>
            <w:vAlign w:val="center"/>
            <w:hideMark/>
          </w:tcPr>
          <w:p w14:paraId="4F0DFE26" w14:textId="77777777" w:rsidR="00A920E6" w:rsidRPr="00A920E6" w:rsidRDefault="00A920E6" w:rsidP="00A920E6">
            <w:pPr>
              <w:rPr>
                <w:rFonts w:ascii="Arial" w:hAnsi="Arial" w:cs="Arial"/>
                <w:sz w:val="18"/>
                <w:szCs w:val="18"/>
              </w:rPr>
            </w:pPr>
            <w:r w:rsidRPr="00A920E6">
              <w:rPr>
                <w:rFonts w:ascii="Arial" w:hAnsi="Arial" w:cs="Arial"/>
                <w:sz w:val="18"/>
                <w:szCs w:val="18"/>
              </w:rPr>
              <w:t>Pomoći dane u inozemstvo i unutar općeg proračuna (šifre 361+362+363+365+366+367+368+369)</w:t>
            </w:r>
          </w:p>
        </w:tc>
        <w:tc>
          <w:tcPr>
            <w:tcW w:w="2919" w:type="dxa"/>
            <w:tcBorders>
              <w:top w:val="nil"/>
              <w:left w:val="nil"/>
              <w:bottom w:val="single" w:sz="4" w:space="0" w:color="C0C0C0"/>
              <w:right w:val="single" w:sz="4" w:space="0" w:color="000080"/>
            </w:tcBorders>
            <w:shd w:val="clear" w:color="auto" w:fill="auto"/>
            <w:vAlign w:val="center"/>
            <w:hideMark/>
          </w:tcPr>
          <w:p w14:paraId="66DBC9D9"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36</w:t>
            </w:r>
          </w:p>
        </w:tc>
        <w:tc>
          <w:tcPr>
            <w:tcW w:w="1462" w:type="dxa"/>
            <w:tcBorders>
              <w:top w:val="nil"/>
              <w:left w:val="nil"/>
              <w:bottom w:val="single" w:sz="4" w:space="0" w:color="C0C0C0"/>
              <w:right w:val="single" w:sz="4" w:space="0" w:color="000080"/>
            </w:tcBorders>
            <w:shd w:val="clear" w:color="auto" w:fill="auto"/>
            <w:noWrap/>
            <w:vAlign w:val="center"/>
            <w:hideMark/>
          </w:tcPr>
          <w:p w14:paraId="18DB8611"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970.047.707,41</w:t>
            </w:r>
          </w:p>
        </w:tc>
        <w:tc>
          <w:tcPr>
            <w:tcW w:w="1462" w:type="dxa"/>
            <w:tcBorders>
              <w:top w:val="nil"/>
              <w:left w:val="nil"/>
              <w:bottom w:val="single" w:sz="4" w:space="0" w:color="C0C0C0"/>
              <w:right w:val="single" w:sz="4" w:space="0" w:color="000080"/>
            </w:tcBorders>
            <w:shd w:val="clear" w:color="auto" w:fill="auto"/>
            <w:noWrap/>
            <w:vAlign w:val="center"/>
            <w:hideMark/>
          </w:tcPr>
          <w:p w14:paraId="38B2F3CC"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1.111.859.700,29</w:t>
            </w:r>
          </w:p>
        </w:tc>
        <w:tc>
          <w:tcPr>
            <w:tcW w:w="1574" w:type="dxa"/>
            <w:tcBorders>
              <w:top w:val="nil"/>
              <w:left w:val="nil"/>
              <w:bottom w:val="single" w:sz="4" w:space="0" w:color="C0C0C0"/>
              <w:right w:val="single" w:sz="4" w:space="0" w:color="000000"/>
            </w:tcBorders>
            <w:shd w:val="clear" w:color="auto" w:fill="auto"/>
            <w:noWrap/>
            <w:vAlign w:val="center"/>
            <w:hideMark/>
          </w:tcPr>
          <w:p w14:paraId="443FA6BC"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114,6</w:t>
            </w:r>
          </w:p>
        </w:tc>
      </w:tr>
      <w:tr w:rsidR="00A920E6" w:rsidRPr="00A920E6" w14:paraId="400CDD92"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7E6D087C"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361</w:t>
            </w:r>
          </w:p>
        </w:tc>
        <w:tc>
          <w:tcPr>
            <w:tcW w:w="5157" w:type="dxa"/>
            <w:tcBorders>
              <w:top w:val="nil"/>
              <w:left w:val="nil"/>
              <w:bottom w:val="single" w:sz="4" w:space="0" w:color="C0C0C0"/>
              <w:right w:val="single" w:sz="4" w:space="0" w:color="000080"/>
            </w:tcBorders>
            <w:shd w:val="clear" w:color="auto" w:fill="auto"/>
            <w:vAlign w:val="center"/>
            <w:hideMark/>
          </w:tcPr>
          <w:p w14:paraId="37EB814C"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Pomoći inozemnim vladama (šifre 3611+3612)</w:t>
            </w:r>
          </w:p>
        </w:tc>
        <w:tc>
          <w:tcPr>
            <w:tcW w:w="2919" w:type="dxa"/>
            <w:tcBorders>
              <w:top w:val="nil"/>
              <w:left w:val="nil"/>
              <w:bottom w:val="single" w:sz="4" w:space="0" w:color="C0C0C0"/>
              <w:right w:val="single" w:sz="4" w:space="0" w:color="000080"/>
            </w:tcBorders>
            <w:shd w:val="clear" w:color="auto" w:fill="auto"/>
            <w:vAlign w:val="center"/>
            <w:hideMark/>
          </w:tcPr>
          <w:p w14:paraId="60CC0B03"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361</w:t>
            </w:r>
          </w:p>
        </w:tc>
        <w:tc>
          <w:tcPr>
            <w:tcW w:w="1462" w:type="dxa"/>
            <w:tcBorders>
              <w:top w:val="nil"/>
              <w:left w:val="nil"/>
              <w:bottom w:val="single" w:sz="4" w:space="0" w:color="C0C0C0"/>
              <w:right w:val="single" w:sz="4" w:space="0" w:color="000080"/>
            </w:tcBorders>
            <w:shd w:val="clear" w:color="auto" w:fill="auto"/>
            <w:noWrap/>
            <w:vAlign w:val="center"/>
            <w:hideMark/>
          </w:tcPr>
          <w:p w14:paraId="0ECF5A18"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4.769.988,31</w:t>
            </w:r>
          </w:p>
        </w:tc>
        <w:tc>
          <w:tcPr>
            <w:tcW w:w="1462" w:type="dxa"/>
            <w:tcBorders>
              <w:top w:val="nil"/>
              <w:left w:val="nil"/>
              <w:bottom w:val="single" w:sz="4" w:space="0" w:color="C0C0C0"/>
              <w:right w:val="single" w:sz="4" w:space="0" w:color="000080"/>
            </w:tcBorders>
            <w:shd w:val="clear" w:color="auto" w:fill="auto"/>
            <w:noWrap/>
            <w:vAlign w:val="center"/>
            <w:hideMark/>
          </w:tcPr>
          <w:p w14:paraId="43C002B1"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5.948.287,89</w:t>
            </w:r>
          </w:p>
        </w:tc>
        <w:tc>
          <w:tcPr>
            <w:tcW w:w="1574" w:type="dxa"/>
            <w:tcBorders>
              <w:top w:val="nil"/>
              <w:left w:val="nil"/>
              <w:bottom w:val="single" w:sz="4" w:space="0" w:color="C0C0C0"/>
              <w:right w:val="single" w:sz="4" w:space="0" w:color="000000"/>
            </w:tcBorders>
            <w:shd w:val="clear" w:color="auto" w:fill="auto"/>
            <w:noWrap/>
            <w:vAlign w:val="center"/>
            <w:hideMark/>
          </w:tcPr>
          <w:p w14:paraId="38340E14"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124,7</w:t>
            </w:r>
          </w:p>
        </w:tc>
      </w:tr>
      <w:tr w:rsidR="00A920E6" w:rsidRPr="00A920E6" w14:paraId="5CF50F9D"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489D0EBE"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3611</w:t>
            </w:r>
          </w:p>
        </w:tc>
        <w:tc>
          <w:tcPr>
            <w:tcW w:w="5157" w:type="dxa"/>
            <w:tcBorders>
              <w:top w:val="nil"/>
              <w:left w:val="nil"/>
              <w:bottom w:val="single" w:sz="4" w:space="0" w:color="C0C0C0"/>
              <w:right w:val="single" w:sz="4" w:space="0" w:color="000080"/>
            </w:tcBorders>
            <w:shd w:val="clear" w:color="auto" w:fill="auto"/>
            <w:vAlign w:val="center"/>
            <w:hideMark/>
          </w:tcPr>
          <w:p w14:paraId="4C4B6DA8"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Tekuće pomoći inozemnim vladama</w:t>
            </w:r>
          </w:p>
        </w:tc>
        <w:tc>
          <w:tcPr>
            <w:tcW w:w="2919" w:type="dxa"/>
            <w:tcBorders>
              <w:top w:val="nil"/>
              <w:left w:val="nil"/>
              <w:bottom w:val="single" w:sz="4" w:space="0" w:color="C0C0C0"/>
              <w:right w:val="single" w:sz="4" w:space="0" w:color="000080"/>
            </w:tcBorders>
            <w:shd w:val="clear" w:color="auto" w:fill="auto"/>
            <w:vAlign w:val="center"/>
            <w:hideMark/>
          </w:tcPr>
          <w:p w14:paraId="04BAAFAF"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3611</w:t>
            </w:r>
          </w:p>
        </w:tc>
        <w:tc>
          <w:tcPr>
            <w:tcW w:w="1462" w:type="dxa"/>
            <w:tcBorders>
              <w:top w:val="nil"/>
              <w:left w:val="nil"/>
              <w:bottom w:val="single" w:sz="4" w:space="0" w:color="C0C0C0"/>
              <w:right w:val="single" w:sz="4" w:space="0" w:color="000080"/>
            </w:tcBorders>
            <w:shd w:val="clear" w:color="auto" w:fill="auto"/>
            <w:noWrap/>
            <w:vAlign w:val="center"/>
            <w:hideMark/>
          </w:tcPr>
          <w:p w14:paraId="08F28466"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1.320.829,60</w:t>
            </w:r>
          </w:p>
        </w:tc>
        <w:tc>
          <w:tcPr>
            <w:tcW w:w="1462" w:type="dxa"/>
            <w:tcBorders>
              <w:top w:val="nil"/>
              <w:left w:val="nil"/>
              <w:bottom w:val="single" w:sz="4" w:space="0" w:color="C0C0C0"/>
              <w:right w:val="single" w:sz="4" w:space="0" w:color="000080"/>
            </w:tcBorders>
            <w:shd w:val="clear" w:color="auto" w:fill="auto"/>
            <w:noWrap/>
            <w:vAlign w:val="center"/>
            <w:hideMark/>
          </w:tcPr>
          <w:p w14:paraId="5ACDFCE4"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950.000,00</w:t>
            </w:r>
          </w:p>
        </w:tc>
        <w:tc>
          <w:tcPr>
            <w:tcW w:w="1574" w:type="dxa"/>
            <w:tcBorders>
              <w:top w:val="nil"/>
              <w:left w:val="nil"/>
              <w:bottom w:val="single" w:sz="4" w:space="0" w:color="C0C0C0"/>
              <w:right w:val="single" w:sz="4" w:space="0" w:color="000000"/>
            </w:tcBorders>
            <w:shd w:val="clear" w:color="auto" w:fill="auto"/>
            <w:noWrap/>
            <w:vAlign w:val="center"/>
            <w:hideMark/>
          </w:tcPr>
          <w:p w14:paraId="2B6BADBE"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71,9</w:t>
            </w:r>
          </w:p>
        </w:tc>
      </w:tr>
      <w:tr w:rsidR="00A920E6" w:rsidRPr="00A920E6" w14:paraId="6F4CA1BA"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4064DFB7"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3612</w:t>
            </w:r>
          </w:p>
        </w:tc>
        <w:tc>
          <w:tcPr>
            <w:tcW w:w="5157" w:type="dxa"/>
            <w:tcBorders>
              <w:top w:val="nil"/>
              <w:left w:val="nil"/>
              <w:bottom w:val="single" w:sz="4" w:space="0" w:color="C0C0C0"/>
              <w:right w:val="single" w:sz="4" w:space="0" w:color="000080"/>
            </w:tcBorders>
            <w:shd w:val="clear" w:color="auto" w:fill="auto"/>
            <w:vAlign w:val="center"/>
            <w:hideMark/>
          </w:tcPr>
          <w:p w14:paraId="78E7359C"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Kapitalne pomoći inozemnim vladama</w:t>
            </w:r>
          </w:p>
        </w:tc>
        <w:tc>
          <w:tcPr>
            <w:tcW w:w="2919" w:type="dxa"/>
            <w:tcBorders>
              <w:top w:val="nil"/>
              <w:left w:val="nil"/>
              <w:bottom w:val="single" w:sz="4" w:space="0" w:color="C0C0C0"/>
              <w:right w:val="single" w:sz="4" w:space="0" w:color="000080"/>
            </w:tcBorders>
            <w:shd w:val="clear" w:color="auto" w:fill="auto"/>
            <w:vAlign w:val="center"/>
            <w:hideMark/>
          </w:tcPr>
          <w:p w14:paraId="5900A279"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3612</w:t>
            </w:r>
          </w:p>
        </w:tc>
        <w:tc>
          <w:tcPr>
            <w:tcW w:w="1462" w:type="dxa"/>
            <w:tcBorders>
              <w:top w:val="nil"/>
              <w:left w:val="nil"/>
              <w:bottom w:val="single" w:sz="4" w:space="0" w:color="C0C0C0"/>
              <w:right w:val="single" w:sz="4" w:space="0" w:color="000080"/>
            </w:tcBorders>
            <w:shd w:val="clear" w:color="auto" w:fill="auto"/>
            <w:noWrap/>
            <w:vAlign w:val="center"/>
            <w:hideMark/>
          </w:tcPr>
          <w:p w14:paraId="0865DF17"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3.449.158,71</w:t>
            </w:r>
          </w:p>
        </w:tc>
        <w:tc>
          <w:tcPr>
            <w:tcW w:w="1462" w:type="dxa"/>
            <w:tcBorders>
              <w:top w:val="nil"/>
              <w:left w:val="nil"/>
              <w:bottom w:val="single" w:sz="4" w:space="0" w:color="C0C0C0"/>
              <w:right w:val="single" w:sz="4" w:space="0" w:color="000080"/>
            </w:tcBorders>
            <w:shd w:val="clear" w:color="auto" w:fill="auto"/>
            <w:noWrap/>
            <w:vAlign w:val="center"/>
            <w:hideMark/>
          </w:tcPr>
          <w:p w14:paraId="472C34BF"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4.998.287,89</w:t>
            </w:r>
          </w:p>
        </w:tc>
        <w:tc>
          <w:tcPr>
            <w:tcW w:w="1574" w:type="dxa"/>
            <w:tcBorders>
              <w:top w:val="nil"/>
              <w:left w:val="nil"/>
              <w:bottom w:val="single" w:sz="4" w:space="0" w:color="C0C0C0"/>
              <w:right w:val="single" w:sz="4" w:space="0" w:color="000000"/>
            </w:tcBorders>
            <w:shd w:val="clear" w:color="auto" w:fill="auto"/>
            <w:noWrap/>
            <w:vAlign w:val="center"/>
            <w:hideMark/>
          </w:tcPr>
          <w:p w14:paraId="05F0507E"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144,9</w:t>
            </w:r>
          </w:p>
        </w:tc>
      </w:tr>
      <w:tr w:rsidR="00A920E6" w:rsidRPr="00A920E6" w14:paraId="71046910"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69E53FFF"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362</w:t>
            </w:r>
          </w:p>
        </w:tc>
        <w:tc>
          <w:tcPr>
            <w:tcW w:w="5157" w:type="dxa"/>
            <w:tcBorders>
              <w:top w:val="nil"/>
              <w:left w:val="nil"/>
              <w:bottom w:val="single" w:sz="4" w:space="0" w:color="C0C0C0"/>
              <w:right w:val="single" w:sz="4" w:space="0" w:color="000080"/>
            </w:tcBorders>
            <w:shd w:val="clear" w:color="auto" w:fill="auto"/>
            <w:vAlign w:val="center"/>
            <w:hideMark/>
          </w:tcPr>
          <w:p w14:paraId="1AD51B57"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Pomoći međunarodnim organizacijama te institucijama i tijelima EU (šifre 3621+3622)</w:t>
            </w:r>
          </w:p>
        </w:tc>
        <w:tc>
          <w:tcPr>
            <w:tcW w:w="2919" w:type="dxa"/>
            <w:tcBorders>
              <w:top w:val="nil"/>
              <w:left w:val="nil"/>
              <w:bottom w:val="single" w:sz="4" w:space="0" w:color="C0C0C0"/>
              <w:right w:val="single" w:sz="4" w:space="0" w:color="000080"/>
            </w:tcBorders>
            <w:shd w:val="clear" w:color="auto" w:fill="auto"/>
            <w:vAlign w:val="center"/>
            <w:hideMark/>
          </w:tcPr>
          <w:p w14:paraId="7C869C30"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362</w:t>
            </w:r>
          </w:p>
        </w:tc>
        <w:tc>
          <w:tcPr>
            <w:tcW w:w="1462" w:type="dxa"/>
            <w:tcBorders>
              <w:top w:val="nil"/>
              <w:left w:val="nil"/>
              <w:bottom w:val="single" w:sz="4" w:space="0" w:color="C0C0C0"/>
              <w:right w:val="single" w:sz="4" w:space="0" w:color="000080"/>
            </w:tcBorders>
            <w:shd w:val="clear" w:color="auto" w:fill="auto"/>
            <w:noWrap/>
            <w:vAlign w:val="center"/>
            <w:hideMark/>
          </w:tcPr>
          <w:p w14:paraId="5322D77F"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85.179,90</w:t>
            </w:r>
          </w:p>
        </w:tc>
        <w:tc>
          <w:tcPr>
            <w:tcW w:w="1462" w:type="dxa"/>
            <w:tcBorders>
              <w:top w:val="nil"/>
              <w:left w:val="nil"/>
              <w:bottom w:val="single" w:sz="4" w:space="0" w:color="C0C0C0"/>
              <w:right w:val="single" w:sz="4" w:space="0" w:color="000080"/>
            </w:tcBorders>
            <w:shd w:val="clear" w:color="auto" w:fill="auto"/>
            <w:noWrap/>
            <w:vAlign w:val="center"/>
            <w:hideMark/>
          </w:tcPr>
          <w:p w14:paraId="7AB1F8ED"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78.107,62</w:t>
            </w:r>
          </w:p>
        </w:tc>
        <w:tc>
          <w:tcPr>
            <w:tcW w:w="1574" w:type="dxa"/>
            <w:tcBorders>
              <w:top w:val="nil"/>
              <w:left w:val="nil"/>
              <w:bottom w:val="single" w:sz="4" w:space="0" w:color="C0C0C0"/>
              <w:right w:val="single" w:sz="4" w:space="0" w:color="000000"/>
            </w:tcBorders>
            <w:shd w:val="clear" w:color="auto" w:fill="auto"/>
            <w:noWrap/>
            <w:vAlign w:val="center"/>
            <w:hideMark/>
          </w:tcPr>
          <w:p w14:paraId="18A79B7A"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91,7</w:t>
            </w:r>
          </w:p>
        </w:tc>
      </w:tr>
      <w:tr w:rsidR="00A920E6" w:rsidRPr="00A920E6" w14:paraId="09E8AEE4"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513F9188"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3621</w:t>
            </w:r>
          </w:p>
        </w:tc>
        <w:tc>
          <w:tcPr>
            <w:tcW w:w="5157" w:type="dxa"/>
            <w:tcBorders>
              <w:top w:val="nil"/>
              <w:left w:val="nil"/>
              <w:bottom w:val="single" w:sz="4" w:space="0" w:color="C0C0C0"/>
              <w:right w:val="single" w:sz="4" w:space="0" w:color="000080"/>
            </w:tcBorders>
            <w:shd w:val="clear" w:color="auto" w:fill="auto"/>
            <w:vAlign w:val="center"/>
            <w:hideMark/>
          </w:tcPr>
          <w:p w14:paraId="0EBEFF07" w14:textId="77777777" w:rsidR="00A920E6" w:rsidRPr="00A920E6" w:rsidRDefault="00A920E6" w:rsidP="00A920E6">
            <w:pPr>
              <w:rPr>
                <w:rFonts w:ascii="Arial" w:hAnsi="Arial" w:cs="Arial"/>
                <w:sz w:val="18"/>
                <w:szCs w:val="18"/>
              </w:rPr>
            </w:pPr>
            <w:r w:rsidRPr="00A920E6">
              <w:rPr>
                <w:rFonts w:ascii="Arial" w:hAnsi="Arial" w:cs="Arial"/>
                <w:sz w:val="18"/>
                <w:szCs w:val="18"/>
              </w:rPr>
              <w:t>Tekuće pomoći međunarodnim organizacijama te institucijama i tijelima EU</w:t>
            </w:r>
          </w:p>
        </w:tc>
        <w:tc>
          <w:tcPr>
            <w:tcW w:w="2919" w:type="dxa"/>
            <w:tcBorders>
              <w:top w:val="nil"/>
              <w:left w:val="nil"/>
              <w:bottom w:val="single" w:sz="4" w:space="0" w:color="C0C0C0"/>
              <w:right w:val="single" w:sz="4" w:space="0" w:color="000080"/>
            </w:tcBorders>
            <w:shd w:val="clear" w:color="auto" w:fill="auto"/>
            <w:vAlign w:val="center"/>
            <w:hideMark/>
          </w:tcPr>
          <w:p w14:paraId="504A633E"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3621</w:t>
            </w:r>
          </w:p>
        </w:tc>
        <w:tc>
          <w:tcPr>
            <w:tcW w:w="1462" w:type="dxa"/>
            <w:tcBorders>
              <w:top w:val="nil"/>
              <w:left w:val="nil"/>
              <w:bottom w:val="single" w:sz="4" w:space="0" w:color="C0C0C0"/>
              <w:right w:val="single" w:sz="4" w:space="0" w:color="000080"/>
            </w:tcBorders>
            <w:shd w:val="clear" w:color="auto" w:fill="auto"/>
            <w:noWrap/>
            <w:vAlign w:val="center"/>
            <w:hideMark/>
          </w:tcPr>
          <w:p w14:paraId="50CE2819"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85.179,90</w:t>
            </w:r>
          </w:p>
        </w:tc>
        <w:tc>
          <w:tcPr>
            <w:tcW w:w="1462" w:type="dxa"/>
            <w:tcBorders>
              <w:top w:val="nil"/>
              <w:left w:val="nil"/>
              <w:bottom w:val="single" w:sz="4" w:space="0" w:color="C0C0C0"/>
              <w:right w:val="single" w:sz="4" w:space="0" w:color="000080"/>
            </w:tcBorders>
            <w:shd w:val="clear" w:color="auto" w:fill="auto"/>
            <w:noWrap/>
            <w:vAlign w:val="center"/>
            <w:hideMark/>
          </w:tcPr>
          <w:p w14:paraId="0FE53A7A"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78.107,62</w:t>
            </w:r>
          </w:p>
        </w:tc>
        <w:tc>
          <w:tcPr>
            <w:tcW w:w="1574" w:type="dxa"/>
            <w:tcBorders>
              <w:top w:val="nil"/>
              <w:left w:val="nil"/>
              <w:bottom w:val="single" w:sz="4" w:space="0" w:color="C0C0C0"/>
              <w:right w:val="single" w:sz="4" w:space="0" w:color="000000"/>
            </w:tcBorders>
            <w:shd w:val="clear" w:color="auto" w:fill="auto"/>
            <w:noWrap/>
            <w:vAlign w:val="center"/>
            <w:hideMark/>
          </w:tcPr>
          <w:p w14:paraId="6801034E"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91,7</w:t>
            </w:r>
          </w:p>
        </w:tc>
      </w:tr>
      <w:tr w:rsidR="00A920E6" w:rsidRPr="00A920E6" w14:paraId="1F06A8F4"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591C9AEA"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363</w:t>
            </w:r>
          </w:p>
        </w:tc>
        <w:tc>
          <w:tcPr>
            <w:tcW w:w="5157" w:type="dxa"/>
            <w:tcBorders>
              <w:top w:val="nil"/>
              <w:left w:val="nil"/>
              <w:bottom w:val="single" w:sz="4" w:space="0" w:color="C0C0C0"/>
              <w:right w:val="single" w:sz="4" w:space="0" w:color="000080"/>
            </w:tcBorders>
            <w:shd w:val="clear" w:color="auto" w:fill="auto"/>
            <w:vAlign w:val="center"/>
            <w:hideMark/>
          </w:tcPr>
          <w:p w14:paraId="396FD8CD" w14:textId="77777777" w:rsidR="00A920E6" w:rsidRPr="00A920E6" w:rsidRDefault="00A920E6" w:rsidP="00A920E6">
            <w:pPr>
              <w:rPr>
                <w:rFonts w:ascii="Arial" w:hAnsi="Arial" w:cs="Arial"/>
                <w:sz w:val="18"/>
                <w:szCs w:val="18"/>
              </w:rPr>
            </w:pPr>
            <w:r w:rsidRPr="00A920E6">
              <w:rPr>
                <w:rFonts w:ascii="Arial" w:hAnsi="Arial" w:cs="Arial"/>
                <w:sz w:val="18"/>
                <w:szCs w:val="18"/>
              </w:rPr>
              <w:t>Pomoći drugom proračunu i izvanproračunskim korisnicima (šifre 3631 do 3636)</w:t>
            </w:r>
          </w:p>
        </w:tc>
        <w:tc>
          <w:tcPr>
            <w:tcW w:w="2919" w:type="dxa"/>
            <w:tcBorders>
              <w:top w:val="nil"/>
              <w:left w:val="nil"/>
              <w:bottom w:val="single" w:sz="4" w:space="0" w:color="C0C0C0"/>
              <w:right w:val="single" w:sz="4" w:space="0" w:color="000080"/>
            </w:tcBorders>
            <w:shd w:val="clear" w:color="auto" w:fill="auto"/>
            <w:vAlign w:val="center"/>
            <w:hideMark/>
          </w:tcPr>
          <w:p w14:paraId="12DD097E"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363</w:t>
            </w:r>
          </w:p>
        </w:tc>
        <w:tc>
          <w:tcPr>
            <w:tcW w:w="1462" w:type="dxa"/>
            <w:tcBorders>
              <w:top w:val="nil"/>
              <w:left w:val="nil"/>
              <w:bottom w:val="single" w:sz="4" w:space="0" w:color="C0C0C0"/>
              <w:right w:val="single" w:sz="4" w:space="0" w:color="000080"/>
            </w:tcBorders>
            <w:shd w:val="clear" w:color="auto" w:fill="auto"/>
            <w:noWrap/>
            <w:vAlign w:val="center"/>
            <w:hideMark/>
          </w:tcPr>
          <w:p w14:paraId="44C1D228"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882.505.791,79</w:t>
            </w:r>
          </w:p>
        </w:tc>
        <w:tc>
          <w:tcPr>
            <w:tcW w:w="1462" w:type="dxa"/>
            <w:tcBorders>
              <w:top w:val="nil"/>
              <w:left w:val="nil"/>
              <w:bottom w:val="single" w:sz="4" w:space="0" w:color="C0C0C0"/>
              <w:right w:val="single" w:sz="4" w:space="0" w:color="000080"/>
            </w:tcBorders>
            <w:shd w:val="clear" w:color="auto" w:fill="auto"/>
            <w:noWrap/>
            <w:vAlign w:val="center"/>
            <w:hideMark/>
          </w:tcPr>
          <w:p w14:paraId="5AA828E3"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1.056.729.512,62</w:t>
            </w:r>
          </w:p>
        </w:tc>
        <w:tc>
          <w:tcPr>
            <w:tcW w:w="1574" w:type="dxa"/>
            <w:tcBorders>
              <w:top w:val="nil"/>
              <w:left w:val="nil"/>
              <w:bottom w:val="single" w:sz="4" w:space="0" w:color="C0C0C0"/>
              <w:right w:val="single" w:sz="4" w:space="0" w:color="000000"/>
            </w:tcBorders>
            <w:shd w:val="clear" w:color="auto" w:fill="auto"/>
            <w:noWrap/>
            <w:vAlign w:val="center"/>
            <w:hideMark/>
          </w:tcPr>
          <w:p w14:paraId="00357CF0"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119,7</w:t>
            </w:r>
          </w:p>
        </w:tc>
      </w:tr>
      <w:tr w:rsidR="00A920E6" w:rsidRPr="00A920E6" w14:paraId="2EA580AA" w14:textId="77777777" w:rsidTr="00145A75">
        <w:trPr>
          <w:trHeight w:val="24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5D8C6119"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3631</w:t>
            </w:r>
          </w:p>
        </w:tc>
        <w:tc>
          <w:tcPr>
            <w:tcW w:w="5157" w:type="dxa"/>
            <w:tcBorders>
              <w:top w:val="nil"/>
              <w:left w:val="nil"/>
              <w:bottom w:val="single" w:sz="4" w:space="0" w:color="C0C0C0"/>
              <w:right w:val="single" w:sz="4" w:space="0" w:color="000080"/>
            </w:tcBorders>
            <w:shd w:val="clear" w:color="auto" w:fill="auto"/>
            <w:vAlign w:val="center"/>
            <w:hideMark/>
          </w:tcPr>
          <w:p w14:paraId="6D75D6BE" w14:textId="77777777" w:rsidR="00A920E6" w:rsidRPr="00A920E6" w:rsidRDefault="00A920E6" w:rsidP="00A920E6">
            <w:pPr>
              <w:rPr>
                <w:rFonts w:ascii="Arial" w:hAnsi="Arial" w:cs="Arial"/>
                <w:sz w:val="18"/>
                <w:szCs w:val="18"/>
              </w:rPr>
            </w:pPr>
            <w:r w:rsidRPr="00A920E6">
              <w:rPr>
                <w:rFonts w:ascii="Arial" w:hAnsi="Arial" w:cs="Arial"/>
                <w:sz w:val="18"/>
                <w:szCs w:val="18"/>
              </w:rPr>
              <w:t>Tekuće pomoći drugom proračunu i izvanproračunskim korisnicima</w:t>
            </w:r>
          </w:p>
        </w:tc>
        <w:tc>
          <w:tcPr>
            <w:tcW w:w="2919" w:type="dxa"/>
            <w:tcBorders>
              <w:top w:val="nil"/>
              <w:left w:val="nil"/>
              <w:bottom w:val="single" w:sz="4" w:space="0" w:color="C0C0C0"/>
              <w:right w:val="single" w:sz="4" w:space="0" w:color="000080"/>
            </w:tcBorders>
            <w:shd w:val="clear" w:color="auto" w:fill="auto"/>
            <w:vAlign w:val="center"/>
            <w:hideMark/>
          </w:tcPr>
          <w:p w14:paraId="5CBC2EFB"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3631</w:t>
            </w:r>
          </w:p>
        </w:tc>
        <w:tc>
          <w:tcPr>
            <w:tcW w:w="1462" w:type="dxa"/>
            <w:tcBorders>
              <w:top w:val="nil"/>
              <w:left w:val="nil"/>
              <w:bottom w:val="single" w:sz="4" w:space="0" w:color="C0C0C0"/>
              <w:right w:val="single" w:sz="4" w:space="0" w:color="000080"/>
            </w:tcBorders>
            <w:shd w:val="clear" w:color="auto" w:fill="auto"/>
            <w:noWrap/>
            <w:vAlign w:val="center"/>
            <w:hideMark/>
          </w:tcPr>
          <w:p w14:paraId="3A634C0B"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178.832.973,85</w:t>
            </w:r>
          </w:p>
        </w:tc>
        <w:tc>
          <w:tcPr>
            <w:tcW w:w="1462" w:type="dxa"/>
            <w:tcBorders>
              <w:top w:val="nil"/>
              <w:left w:val="nil"/>
              <w:bottom w:val="single" w:sz="4" w:space="0" w:color="C0C0C0"/>
              <w:right w:val="single" w:sz="4" w:space="0" w:color="000080"/>
            </w:tcBorders>
            <w:shd w:val="clear" w:color="auto" w:fill="auto"/>
            <w:noWrap/>
            <w:vAlign w:val="center"/>
            <w:hideMark/>
          </w:tcPr>
          <w:p w14:paraId="0E691B50"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255.345.922,34</w:t>
            </w:r>
          </w:p>
        </w:tc>
        <w:tc>
          <w:tcPr>
            <w:tcW w:w="1574" w:type="dxa"/>
            <w:tcBorders>
              <w:top w:val="nil"/>
              <w:left w:val="nil"/>
              <w:bottom w:val="single" w:sz="4" w:space="0" w:color="C0C0C0"/>
              <w:right w:val="single" w:sz="4" w:space="0" w:color="000000"/>
            </w:tcBorders>
            <w:shd w:val="clear" w:color="auto" w:fill="auto"/>
            <w:noWrap/>
            <w:vAlign w:val="center"/>
            <w:hideMark/>
          </w:tcPr>
          <w:p w14:paraId="71499351"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142,8</w:t>
            </w:r>
          </w:p>
        </w:tc>
      </w:tr>
      <w:tr w:rsidR="00A920E6" w:rsidRPr="00A920E6" w14:paraId="571D355A" w14:textId="77777777" w:rsidTr="00145A75">
        <w:trPr>
          <w:trHeight w:val="24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1E45C583"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3632</w:t>
            </w:r>
          </w:p>
        </w:tc>
        <w:tc>
          <w:tcPr>
            <w:tcW w:w="5157" w:type="dxa"/>
            <w:tcBorders>
              <w:top w:val="nil"/>
              <w:left w:val="nil"/>
              <w:bottom w:val="single" w:sz="4" w:space="0" w:color="C0C0C0"/>
              <w:right w:val="single" w:sz="4" w:space="0" w:color="000080"/>
            </w:tcBorders>
            <w:shd w:val="clear" w:color="auto" w:fill="auto"/>
            <w:vAlign w:val="center"/>
            <w:hideMark/>
          </w:tcPr>
          <w:p w14:paraId="75B6FE90" w14:textId="77777777" w:rsidR="00A920E6" w:rsidRPr="00A920E6" w:rsidRDefault="00A920E6" w:rsidP="00A920E6">
            <w:pPr>
              <w:rPr>
                <w:rFonts w:ascii="Arial" w:hAnsi="Arial" w:cs="Arial"/>
                <w:sz w:val="18"/>
                <w:szCs w:val="18"/>
              </w:rPr>
            </w:pPr>
            <w:r w:rsidRPr="00A920E6">
              <w:rPr>
                <w:rFonts w:ascii="Arial" w:hAnsi="Arial" w:cs="Arial"/>
                <w:sz w:val="18"/>
                <w:szCs w:val="18"/>
              </w:rPr>
              <w:t>Kapitalne pomoći drugom proračunu i izvanproračunskim korisnicima</w:t>
            </w:r>
          </w:p>
        </w:tc>
        <w:tc>
          <w:tcPr>
            <w:tcW w:w="2919" w:type="dxa"/>
            <w:tcBorders>
              <w:top w:val="nil"/>
              <w:left w:val="nil"/>
              <w:bottom w:val="single" w:sz="4" w:space="0" w:color="C0C0C0"/>
              <w:right w:val="single" w:sz="4" w:space="0" w:color="000080"/>
            </w:tcBorders>
            <w:shd w:val="clear" w:color="auto" w:fill="auto"/>
            <w:vAlign w:val="center"/>
            <w:hideMark/>
          </w:tcPr>
          <w:p w14:paraId="0850E190"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3632</w:t>
            </w:r>
          </w:p>
        </w:tc>
        <w:tc>
          <w:tcPr>
            <w:tcW w:w="1462" w:type="dxa"/>
            <w:tcBorders>
              <w:top w:val="nil"/>
              <w:left w:val="nil"/>
              <w:bottom w:val="single" w:sz="4" w:space="0" w:color="C0C0C0"/>
              <w:right w:val="single" w:sz="4" w:space="0" w:color="000080"/>
            </w:tcBorders>
            <w:shd w:val="clear" w:color="auto" w:fill="auto"/>
            <w:noWrap/>
            <w:vAlign w:val="center"/>
            <w:hideMark/>
          </w:tcPr>
          <w:p w14:paraId="21E9FF8C"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703.672.817,94</w:t>
            </w:r>
          </w:p>
        </w:tc>
        <w:tc>
          <w:tcPr>
            <w:tcW w:w="1462" w:type="dxa"/>
            <w:tcBorders>
              <w:top w:val="nil"/>
              <w:left w:val="nil"/>
              <w:bottom w:val="single" w:sz="4" w:space="0" w:color="C0C0C0"/>
              <w:right w:val="single" w:sz="4" w:space="0" w:color="000080"/>
            </w:tcBorders>
            <w:shd w:val="clear" w:color="auto" w:fill="auto"/>
            <w:noWrap/>
            <w:vAlign w:val="center"/>
            <w:hideMark/>
          </w:tcPr>
          <w:p w14:paraId="28FD541C"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801.383.590,28</w:t>
            </w:r>
          </w:p>
        </w:tc>
        <w:tc>
          <w:tcPr>
            <w:tcW w:w="1574" w:type="dxa"/>
            <w:tcBorders>
              <w:top w:val="nil"/>
              <w:left w:val="nil"/>
              <w:bottom w:val="single" w:sz="4" w:space="0" w:color="C0C0C0"/>
              <w:right w:val="single" w:sz="4" w:space="0" w:color="000000"/>
            </w:tcBorders>
            <w:shd w:val="clear" w:color="auto" w:fill="auto"/>
            <w:noWrap/>
            <w:vAlign w:val="center"/>
            <w:hideMark/>
          </w:tcPr>
          <w:p w14:paraId="19907D22"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113,9</w:t>
            </w:r>
          </w:p>
        </w:tc>
      </w:tr>
      <w:tr w:rsidR="00A920E6" w:rsidRPr="00A920E6" w14:paraId="51C16105"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2C56923D"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366</w:t>
            </w:r>
          </w:p>
        </w:tc>
        <w:tc>
          <w:tcPr>
            <w:tcW w:w="5157" w:type="dxa"/>
            <w:tcBorders>
              <w:top w:val="nil"/>
              <w:left w:val="nil"/>
              <w:bottom w:val="single" w:sz="4" w:space="0" w:color="C0C0C0"/>
              <w:right w:val="single" w:sz="4" w:space="0" w:color="000080"/>
            </w:tcBorders>
            <w:shd w:val="clear" w:color="auto" w:fill="auto"/>
            <w:vAlign w:val="center"/>
            <w:hideMark/>
          </w:tcPr>
          <w:p w14:paraId="1034E8C2" w14:textId="77777777" w:rsidR="00A920E6" w:rsidRPr="00A920E6" w:rsidRDefault="00A920E6" w:rsidP="00A920E6">
            <w:pPr>
              <w:rPr>
                <w:rFonts w:ascii="Arial" w:hAnsi="Arial" w:cs="Arial"/>
                <w:sz w:val="18"/>
                <w:szCs w:val="18"/>
              </w:rPr>
            </w:pPr>
            <w:r w:rsidRPr="00A920E6">
              <w:rPr>
                <w:rFonts w:ascii="Arial" w:hAnsi="Arial" w:cs="Arial"/>
                <w:sz w:val="18"/>
                <w:szCs w:val="18"/>
              </w:rPr>
              <w:t>Pomoći proračunskim korisnicima drugih proračuna (šifre 3661 do 3663)</w:t>
            </w:r>
          </w:p>
        </w:tc>
        <w:tc>
          <w:tcPr>
            <w:tcW w:w="2919" w:type="dxa"/>
            <w:tcBorders>
              <w:top w:val="nil"/>
              <w:left w:val="nil"/>
              <w:bottom w:val="single" w:sz="4" w:space="0" w:color="C0C0C0"/>
              <w:right w:val="single" w:sz="4" w:space="0" w:color="000080"/>
            </w:tcBorders>
            <w:shd w:val="clear" w:color="auto" w:fill="auto"/>
            <w:vAlign w:val="center"/>
            <w:hideMark/>
          </w:tcPr>
          <w:p w14:paraId="58D20F99"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366</w:t>
            </w:r>
          </w:p>
        </w:tc>
        <w:tc>
          <w:tcPr>
            <w:tcW w:w="1462" w:type="dxa"/>
            <w:tcBorders>
              <w:top w:val="nil"/>
              <w:left w:val="nil"/>
              <w:bottom w:val="single" w:sz="4" w:space="0" w:color="C0C0C0"/>
              <w:right w:val="single" w:sz="4" w:space="0" w:color="000080"/>
            </w:tcBorders>
            <w:shd w:val="clear" w:color="auto" w:fill="auto"/>
            <w:noWrap/>
            <w:vAlign w:val="center"/>
            <w:hideMark/>
          </w:tcPr>
          <w:p w14:paraId="0DAD5878"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569.239,51</w:t>
            </w:r>
          </w:p>
        </w:tc>
        <w:tc>
          <w:tcPr>
            <w:tcW w:w="1462" w:type="dxa"/>
            <w:tcBorders>
              <w:top w:val="nil"/>
              <w:left w:val="nil"/>
              <w:bottom w:val="single" w:sz="4" w:space="0" w:color="C0C0C0"/>
              <w:right w:val="single" w:sz="4" w:space="0" w:color="000080"/>
            </w:tcBorders>
            <w:shd w:val="clear" w:color="auto" w:fill="auto"/>
            <w:noWrap/>
            <w:vAlign w:val="center"/>
            <w:hideMark/>
          </w:tcPr>
          <w:p w14:paraId="4E27BF0C"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270.519,43</w:t>
            </w:r>
          </w:p>
        </w:tc>
        <w:tc>
          <w:tcPr>
            <w:tcW w:w="1574" w:type="dxa"/>
            <w:tcBorders>
              <w:top w:val="nil"/>
              <w:left w:val="nil"/>
              <w:bottom w:val="single" w:sz="4" w:space="0" w:color="C0C0C0"/>
              <w:right w:val="single" w:sz="4" w:space="0" w:color="000000"/>
            </w:tcBorders>
            <w:shd w:val="clear" w:color="auto" w:fill="auto"/>
            <w:noWrap/>
            <w:vAlign w:val="center"/>
            <w:hideMark/>
          </w:tcPr>
          <w:p w14:paraId="65D905D3"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47,5</w:t>
            </w:r>
          </w:p>
        </w:tc>
      </w:tr>
      <w:tr w:rsidR="00A920E6" w:rsidRPr="00A920E6" w14:paraId="27375ED9"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02B3CFD7"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3661</w:t>
            </w:r>
          </w:p>
        </w:tc>
        <w:tc>
          <w:tcPr>
            <w:tcW w:w="5157" w:type="dxa"/>
            <w:tcBorders>
              <w:top w:val="nil"/>
              <w:left w:val="nil"/>
              <w:bottom w:val="single" w:sz="4" w:space="0" w:color="C0C0C0"/>
              <w:right w:val="single" w:sz="4" w:space="0" w:color="000080"/>
            </w:tcBorders>
            <w:shd w:val="clear" w:color="auto" w:fill="auto"/>
            <w:vAlign w:val="center"/>
            <w:hideMark/>
          </w:tcPr>
          <w:p w14:paraId="47392879"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Tekuće pomoći proračunskim korisnicima drugih proračuna</w:t>
            </w:r>
          </w:p>
        </w:tc>
        <w:tc>
          <w:tcPr>
            <w:tcW w:w="2919" w:type="dxa"/>
            <w:tcBorders>
              <w:top w:val="nil"/>
              <w:left w:val="nil"/>
              <w:bottom w:val="single" w:sz="4" w:space="0" w:color="C0C0C0"/>
              <w:right w:val="single" w:sz="4" w:space="0" w:color="000080"/>
            </w:tcBorders>
            <w:shd w:val="clear" w:color="auto" w:fill="auto"/>
            <w:vAlign w:val="center"/>
            <w:hideMark/>
          </w:tcPr>
          <w:p w14:paraId="76D27ABB"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3661</w:t>
            </w:r>
          </w:p>
        </w:tc>
        <w:tc>
          <w:tcPr>
            <w:tcW w:w="1462" w:type="dxa"/>
            <w:tcBorders>
              <w:top w:val="nil"/>
              <w:left w:val="nil"/>
              <w:bottom w:val="single" w:sz="4" w:space="0" w:color="C0C0C0"/>
              <w:right w:val="single" w:sz="4" w:space="0" w:color="000080"/>
            </w:tcBorders>
            <w:shd w:val="clear" w:color="auto" w:fill="auto"/>
            <w:noWrap/>
            <w:vAlign w:val="center"/>
            <w:hideMark/>
          </w:tcPr>
          <w:p w14:paraId="03BB4170"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40.584,95</w:t>
            </w:r>
          </w:p>
        </w:tc>
        <w:tc>
          <w:tcPr>
            <w:tcW w:w="1462" w:type="dxa"/>
            <w:tcBorders>
              <w:top w:val="nil"/>
              <w:left w:val="nil"/>
              <w:bottom w:val="single" w:sz="4" w:space="0" w:color="C0C0C0"/>
              <w:right w:val="single" w:sz="4" w:space="0" w:color="000080"/>
            </w:tcBorders>
            <w:shd w:val="clear" w:color="auto" w:fill="auto"/>
            <w:noWrap/>
            <w:vAlign w:val="center"/>
            <w:hideMark/>
          </w:tcPr>
          <w:p w14:paraId="41CA0F93"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40.009,88</w:t>
            </w:r>
          </w:p>
        </w:tc>
        <w:tc>
          <w:tcPr>
            <w:tcW w:w="1574" w:type="dxa"/>
            <w:tcBorders>
              <w:top w:val="nil"/>
              <w:left w:val="nil"/>
              <w:bottom w:val="single" w:sz="4" w:space="0" w:color="C0C0C0"/>
              <w:right w:val="single" w:sz="4" w:space="0" w:color="000000"/>
            </w:tcBorders>
            <w:shd w:val="clear" w:color="auto" w:fill="auto"/>
            <w:noWrap/>
            <w:vAlign w:val="center"/>
            <w:hideMark/>
          </w:tcPr>
          <w:p w14:paraId="7FC4427B"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98,6</w:t>
            </w:r>
          </w:p>
        </w:tc>
      </w:tr>
      <w:tr w:rsidR="00A920E6" w:rsidRPr="00A920E6" w14:paraId="5D097C7E"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123E6F8B"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3662</w:t>
            </w:r>
          </w:p>
        </w:tc>
        <w:tc>
          <w:tcPr>
            <w:tcW w:w="5157" w:type="dxa"/>
            <w:tcBorders>
              <w:top w:val="nil"/>
              <w:left w:val="nil"/>
              <w:bottom w:val="single" w:sz="4" w:space="0" w:color="C0C0C0"/>
              <w:right w:val="single" w:sz="4" w:space="0" w:color="000080"/>
            </w:tcBorders>
            <w:shd w:val="clear" w:color="auto" w:fill="auto"/>
            <w:vAlign w:val="center"/>
            <w:hideMark/>
          </w:tcPr>
          <w:p w14:paraId="0049F0A1"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Kapitalne pomoći proračunskim korisnicima drugih proračuna</w:t>
            </w:r>
          </w:p>
        </w:tc>
        <w:tc>
          <w:tcPr>
            <w:tcW w:w="2919" w:type="dxa"/>
            <w:tcBorders>
              <w:top w:val="nil"/>
              <w:left w:val="nil"/>
              <w:bottom w:val="single" w:sz="4" w:space="0" w:color="C0C0C0"/>
              <w:right w:val="single" w:sz="4" w:space="0" w:color="000080"/>
            </w:tcBorders>
            <w:shd w:val="clear" w:color="auto" w:fill="auto"/>
            <w:vAlign w:val="center"/>
            <w:hideMark/>
          </w:tcPr>
          <w:p w14:paraId="2FA10EC1"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3662</w:t>
            </w:r>
          </w:p>
        </w:tc>
        <w:tc>
          <w:tcPr>
            <w:tcW w:w="1462" w:type="dxa"/>
            <w:tcBorders>
              <w:top w:val="nil"/>
              <w:left w:val="nil"/>
              <w:bottom w:val="single" w:sz="4" w:space="0" w:color="C0C0C0"/>
              <w:right w:val="single" w:sz="4" w:space="0" w:color="000080"/>
            </w:tcBorders>
            <w:shd w:val="clear" w:color="auto" w:fill="auto"/>
            <w:noWrap/>
            <w:vAlign w:val="center"/>
            <w:hideMark/>
          </w:tcPr>
          <w:p w14:paraId="50BFD9C8"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528.654,56</w:t>
            </w:r>
          </w:p>
        </w:tc>
        <w:tc>
          <w:tcPr>
            <w:tcW w:w="1462" w:type="dxa"/>
            <w:tcBorders>
              <w:top w:val="nil"/>
              <w:left w:val="nil"/>
              <w:bottom w:val="single" w:sz="4" w:space="0" w:color="C0C0C0"/>
              <w:right w:val="single" w:sz="4" w:space="0" w:color="000080"/>
            </w:tcBorders>
            <w:shd w:val="clear" w:color="auto" w:fill="auto"/>
            <w:noWrap/>
            <w:vAlign w:val="center"/>
            <w:hideMark/>
          </w:tcPr>
          <w:p w14:paraId="6B12A372"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230.509,55</w:t>
            </w:r>
          </w:p>
        </w:tc>
        <w:tc>
          <w:tcPr>
            <w:tcW w:w="1574" w:type="dxa"/>
            <w:tcBorders>
              <w:top w:val="nil"/>
              <w:left w:val="nil"/>
              <w:bottom w:val="single" w:sz="4" w:space="0" w:color="C0C0C0"/>
              <w:right w:val="single" w:sz="4" w:space="0" w:color="000000"/>
            </w:tcBorders>
            <w:shd w:val="clear" w:color="auto" w:fill="auto"/>
            <w:noWrap/>
            <w:vAlign w:val="center"/>
            <w:hideMark/>
          </w:tcPr>
          <w:p w14:paraId="45154BCB"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43,6</w:t>
            </w:r>
          </w:p>
        </w:tc>
      </w:tr>
      <w:tr w:rsidR="00A920E6" w:rsidRPr="00A920E6" w14:paraId="38889A8C"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79C8B7F8"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368</w:t>
            </w:r>
          </w:p>
        </w:tc>
        <w:tc>
          <w:tcPr>
            <w:tcW w:w="5157" w:type="dxa"/>
            <w:tcBorders>
              <w:top w:val="nil"/>
              <w:left w:val="nil"/>
              <w:bottom w:val="single" w:sz="4" w:space="0" w:color="C0C0C0"/>
              <w:right w:val="single" w:sz="4" w:space="0" w:color="000080"/>
            </w:tcBorders>
            <w:shd w:val="clear" w:color="auto" w:fill="auto"/>
            <w:vAlign w:val="center"/>
            <w:hideMark/>
          </w:tcPr>
          <w:p w14:paraId="2446AF90"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Pomoći temeljem prijenosa EU sredstava (šifre 3681+3682)</w:t>
            </w:r>
          </w:p>
        </w:tc>
        <w:tc>
          <w:tcPr>
            <w:tcW w:w="2919" w:type="dxa"/>
            <w:tcBorders>
              <w:top w:val="nil"/>
              <w:left w:val="nil"/>
              <w:bottom w:val="single" w:sz="4" w:space="0" w:color="C0C0C0"/>
              <w:right w:val="single" w:sz="4" w:space="0" w:color="000080"/>
            </w:tcBorders>
            <w:shd w:val="clear" w:color="auto" w:fill="auto"/>
            <w:vAlign w:val="center"/>
            <w:hideMark/>
          </w:tcPr>
          <w:p w14:paraId="46C9F490"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368</w:t>
            </w:r>
          </w:p>
        </w:tc>
        <w:tc>
          <w:tcPr>
            <w:tcW w:w="1462" w:type="dxa"/>
            <w:tcBorders>
              <w:top w:val="nil"/>
              <w:left w:val="nil"/>
              <w:bottom w:val="single" w:sz="4" w:space="0" w:color="C0C0C0"/>
              <w:right w:val="single" w:sz="4" w:space="0" w:color="000080"/>
            </w:tcBorders>
            <w:shd w:val="clear" w:color="auto" w:fill="auto"/>
            <w:noWrap/>
            <w:vAlign w:val="center"/>
            <w:hideMark/>
          </w:tcPr>
          <w:p w14:paraId="4CB81C91"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82.027.061,75</w:t>
            </w:r>
          </w:p>
        </w:tc>
        <w:tc>
          <w:tcPr>
            <w:tcW w:w="1462" w:type="dxa"/>
            <w:tcBorders>
              <w:top w:val="nil"/>
              <w:left w:val="nil"/>
              <w:bottom w:val="single" w:sz="4" w:space="0" w:color="C0C0C0"/>
              <w:right w:val="single" w:sz="4" w:space="0" w:color="000080"/>
            </w:tcBorders>
            <w:shd w:val="clear" w:color="auto" w:fill="auto"/>
            <w:noWrap/>
            <w:vAlign w:val="center"/>
            <w:hideMark/>
          </w:tcPr>
          <w:p w14:paraId="4E2CC1DD"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48.283.272,73</w:t>
            </w:r>
          </w:p>
        </w:tc>
        <w:tc>
          <w:tcPr>
            <w:tcW w:w="1574" w:type="dxa"/>
            <w:tcBorders>
              <w:top w:val="nil"/>
              <w:left w:val="nil"/>
              <w:bottom w:val="single" w:sz="4" w:space="0" w:color="C0C0C0"/>
              <w:right w:val="single" w:sz="4" w:space="0" w:color="000000"/>
            </w:tcBorders>
            <w:shd w:val="clear" w:color="auto" w:fill="auto"/>
            <w:noWrap/>
            <w:vAlign w:val="center"/>
            <w:hideMark/>
          </w:tcPr>
          <w:p w14:paraId="2616174D"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58,9</w:t>
            </w:r>
          </w:p>
        </w:tc>
      </w:tr>
      <w:tr w:rsidR="00A920E6" w:rsidRPr="00A920E6" w14:paraId="0507ED0F"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6B9DC1D3"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3681</w:t>
            </w:r>
          </w:p>
        </w:tc>
        <w:tc>
          <w:tcPr>
            <w:tcW w:w="5157" w:type="dxa"/>
            <w:tcBorders>
              <w:top w:val="nil"/>
              <w:left w:val="nil"/>
              <w:bottom w:val="single" w:sz="4" w:space="0" w:color="C0C0C0"/>
              <w:right w:val="single" w:sz="4" w:space="0" w:color="000080"/>
            </w:tcBorders>
            <w:shd w:val="clear" w:color="auto" w:fill="auto"/>
            <w:vAlign w:val="center"/>
            <w:hideMark/>
          </w:tcPr>
          <w:p w14:paraId="1E21BB1C"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Tekuće pomoći temeljem prijenosa EU sredstava</w:t>
            </w:r>
          </w:p>
        </w:tc>
        <w:tc>
          <w:tcPr>
            <w:tcW w:w="2919" w:type="dxa"/>
            <w:tcBorders>
              <w:top w:val="nil"/>
              <w:left w:val="nil"/>
              <w:bottom w:val="single" w:sz="4" w:space="0" w:color="C0C0C0"/>
              <w:right w:val="single" w:sz="4" w:space="0" w:color="000080"/>
            </w:tcBorders>
            <w:shd w:val="clear" w:color="auto" w:fill="auto"/>
            <w:vAlign w:val="center"/>
            <w:hideMark/>
          </w:tcPr>
          <w:p w14:paraId="0F13D39A"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3681</w:t>
            </w:r>
          </w:p>
        </w:tc>
        <w:tc>
          <w:tcPr>
            <w:tcW w:w="1462" w:type="dxa"/>
            <w:tcBorders>
              <w:top w:val="nil"/>
              <w:left w:val="nil"/>
              <w:bottom w:val="single" w:sz="4" w:space="0" w:color="C0C0C0"/>
              <w:right w:val="single" w:sz="4" w:space="0" w:color="000080"/>
            </w:tcBorders>
            <w:shd w:val="clear" w:color="auto" w:fill="auto"/>
            <w:noWrap/>
            <w:vAlign w:val="center"/>
            <w:hideMark/>
          </w:tcPr>
          <w:p w14:paraId="06A977CA"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689.163,74</w:t>
            </w:r>
          </w:p>
        </w:tc>
        <w:tc>
          <w:tcPr>
            <w:tcW w:w="1462" w:type="dxa"/>
            <w:tcBorders>
              <w:top w:val="nil"/>
              <w:left w:val="nil"/>
              <w:bottom w:val="single" w:sz="4" w:space="0" w:color="C0C0C0"/>
              <w:right w:val="single" w:sz="4" w:space="0" w:color="000080"/>
            </w:tcBorders>
            <w:shd w:val="clear" w:color="auto" w:fill="auto"/>
            <w:noWrap/>
            <w:vAlign w:val="center"/>
            <w:hideMark/>
          </w:tcPr>
          <w:p w14:paraId="2E6546BE"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 </w:t>
            </w:r>
          </w:p>
        </w:tc>
        <w:tc>
          <w:tcPr>
            <w:tcW w:w="1574" w:type="dxa"/>
            <w:tcBorders>
              <w:top w:val="nil"/>
              <w:left w:val="nil"/>
              <w:bottom w:val="single" w:sz="4" w:space="0" w:color="C0C0C0"/>
              <w:right w:val="single" w:sz="4" w:space="0" w:color="000000"/>
            </w:tcBorders>
            <w:shd w:val="clear" w:color="auto" w:fill="auto"/>
            <w:noWrap/>
            <w:vAlign w:val="center"/>
            <w:hideMark/>
          </w:tcPr>
          <w:p w14:paraId="7E57B000"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0,0</w:t>
            </w:r>
          </w:p>
        </w:tc>
      </w:tr>
      <w:tr w:rsidR="00A920E6" w:rsidRPr="00A920E6" w14:paraId="2BC622FD"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1C1E1212"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3682</w:t>
            </w:r>
          </w:p>
        </w:tc>
        <w:tc>
          <w:tcPr>
            <w:tcW w:w="5157" w:type="dxa"/>
            <w:tcBorders>
              <w:top w:val="nil"/>
              <w:left w:val="nil"/>
              <w:bottom w:val="single" w:sz="4" w:space="0" w:color="C0C0C0"/>
              <w:right w:val="single" w:sz="4" w:space="0" w:color="000080"/>
            </w:tcBorders>
            <w:shd w:val="clear" w:color="auto" w:fill="auto"/>
            <w:vAlign w:val="center"/>
            <w:hideMark/>
          </w:tcPr>
          <w:p w14:paraId="48A80A2A"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Kapitalne pomoći temeljem prijenosa EU sredstava</w:t>
            </w:r>
          </w:p>
        </w:tc>
        <w:tc>
          <w:tcPr>
            <w:tcW w:w="2919" w:type="dxa"/>
            <w:tcBorders>
              <w:top w:val="nil"/>
              <w:left w:val="nil"/>
              <w:bottom w:val="single" w:sz="4" w:space="0" w:color="C0C0C0"/>
              <w:right w:val="single" w:sz="4" w:space="0" w:color="000080"/>
            </w:tcBorders>
            <w:shd w:val="clear" w:color="auto" w:fill="auto"/>
            <w:vAlign w:val="center"/>
            <w:hideMark/>
          </w:tcPr>
          <w:p w14:paraId="719ACDFD"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3682</w:t>
            </w:r>
          </w:p>
        </w:tc>
        <w:tc>
          <w:tcPr>
            <w:tcW w:w="1462" w:type="dxa"/>
            <w:tcBorders>
              <w:top w:val="nil"/>
              <w:left w:val="nil"/>
              <w:bottom w:val="single" w:sz="4" w:space="0" w:color="C0C0C0"/>
              <w:right w:val="single" w:sz="4" w:space="0" w:color="000080"/>
            </w:tcBorders>
            <w:shd w:val="clear" w:color="auto" w:fill="auto"/>
            <w:noWrap/>
            <w:vAlign w:val="center"/>
            <w:hideMark/>
          </w:tcPr>
          <w:p w14:paraId="5ADD4FDB"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81.337.898,01</w:t>
            </w:r>
          </w:p>
        </w:tc>
        <w:tc>
          <w:tcPr>
            <w:tcW w:w="1462" w:type="dxa"/>
            <w:tcBorders>
              <w:top w:val="nil"/>
              <w:left w:val="nil"/>
              <w:bottom w:val="single" w:sz="4" w:space="0" w:color="C0C0C0"/>
              <w:right w:val="single" w:sz="4" w:space="0" w:color="000080"/>
            </w:tcBorders>
            <w:shd w:val="clear" w:color="auto" w:fill="auto"/>
            <w:noWrap/>
            <w:vAlign w:val="center"/>
            <w:hideMark/>
          </w:tcPr>
          <w:p w14:paraId="774D6297"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48.283.272,73</w:t>
            </w:r>
          </w:p>
        </w:tc>
        <w:tc>
          <w:tcPr>
            <w:tcW w:w="1574" w:type="dxa"/>
            <w:tcBorders>
              <w:top w:val="nil"/>
              <w:left w:val="nil"/>
              <w:bottom w:val="single" w:sz="4" w:space="0" w:color="C0C0C0"/>
              <w:right w:val="single" w:sz="4" w:space="0" w:color="000000"/>
            </w:tcBorders>
            <w:shd w:val="clear" w:color="auto" w:fill="auto"/>
            <w:noWrap/>
            <w:vAlign w:val="center"/>
            <w:hideMark/>
          </w:tcPr>
          <w:p w14:paraId="6ECC397B"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59,4</w:t>
            </w:r>
          </w:p>
        </w:tc>
      </w:tr>
      <w:tr w:rsidR="00A920E6" w:rsidRPr="00A920E6" w14:paraId="42EE3392"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6B390EC3"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369</w:t>
            </w:r>
          </w:p>
        </w:tc>
        <w:tc>
          <w:tcPr>
            <w:tcW w:w="5157" w:type="dxa"/>
            <w:tcBorders>
              <w:top w:val="nil"/>
              <w:left w:val="nil"/>
              <w:bottom w:val="single" w:sz="4" w:space="0" w:color="C0C0C0"/>
              <w:right w:val="single" w:sz="4" w:space="0" w:color="000080"/>
            </w:tcBorders>
            <w:shd w:val="clear" w:color="auto" w:fill="auto"/>
            <w:vAlign w:val="center"/>
            <w:hideMark/>
          </w:tcPr>
          <w:p w14:paraId="06F83A4A"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Prijenosi između proračunskih korisnika istog proračuna (šifre 3691 do 3694)</w:t>
            </w:r>
          </w:p>
        </w:tc>
        <w:tc>
          <w:tcPr>
            <w:tcW w:w="2919" w:type="dxa"/>
            <w:tcBorders>
              <w:top w:val="nil"/>
              <w:left w:val="nil"/>
              <w:bottom w:val="single" w:sz="4" w:space="0" w:color="C0C0C0"/>
              <w:right w:val="single" w:sz="4" w:space="0" w:color="000080"/>
            </w:tcBorders>
            <w:shd w:val="clear" w:color="auto" w:fill="auto"/>
            <w:vAlign w:val="center"/>
            <w:hideMark/>
          </w:tcPr>
          <w:p w14:paraId="7BE0EEA3"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369</w:t>
            </w:r>
          </w:p>
        </w:tc>
        <w:tc>
          <w:tcPr>
            <w:tcW w:w="1462" w:type="dxa"/>
            <w:tcBorders>
              <w:top w:val="nil"/>
              <w:left w:val="nil"/>
              <w:bottom w:val="single" w:sz="4" w:space="0" w:color="C0C0C0"/>
              <w:right w:val="single" w:sz="4" w:space="0" w:color="000080"/>
            </w:tcBorders>
            <w:shd w:val="clear" w:color="auto" w:fill="auto"/>
            <w:noWrap/>
            <w:vAlign w:val="center"/>
            <w:hideMark/>
          </w:tcPr>
          <w:p w14:paraId="7F2FE789"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90.446,15</w:t>
            </w:r>
          </w:p>
        </w:tc>
        <w:tc>
          <w:tcPr>
            <w:tcW w:w="1462" w:type="dxa"/>
            <w:tcBorders>
              <w:top w:val="nil"/>
              <w:left w:val="nil"/>
              <w:bottom w:val="single" w:sz="4" w:space="0" w:color="C0C0C0"/>
              <w:right w:val="single" w:sz="4" w:space="0" w:color="000080"/>
            </w:tcBorders>
            <w:shd w:val="clear" w:color="auto" w:fill="auto"/>
            <w:noWrap/>
            <w:vAlign w:val="center"/>
            <w:hideMark/>
          </w:tcPr>
          <w:p w14:paraId="6BD26A94"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550.000,00</w:t>
            </w:r>
          </w:p>
        </w:tc>
        <w:tc>
          <w:tcPr>
            <w:tcW w:w="1574" w:type="dxa"/>
            <w:tcBorders>
              <w:top w:val="nil"/>
              <w:left w:val="nil"/>
              <w:bottom w:val="single" w:sz="4" w:space="0" w:color="C0C0C0"/>
              <w:right w:val="single" w:sz="4" w:space="0" w:color="000000"/>
            </w:tcBorders>
            <w:shd w:val="clear" w:color="auto" w:fill="auto"/>
            <w:noWrap/>
            <w:vAlign w:val="center"/>
            <w:hideMark/>
          </w:tcPr>
          <w:p w14:paraId="024F9AB1"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608,1</w:t>
            </w:r>
          </w:p>
        </w:tc>
      </w:tr>
      <w:tr w:rsidR="00A920E6" w:rsidRPr="00A920E6" w14:paraId="50CBA5E5"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522B9F73"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3692</w:t>
            </w:r>
          </w:p>
        </w:tc>
        <w:tc>
          <w:tcPr>
            <w:tcW w:w="5157" w:type="dxa"/>
            <w:tcBorders>
              <w:top w:val="nil"/>
              <w:left w:val="nil"/>
              <w:bottom w:val="single" w:sz="4" w:space="0" w:color="C0C0C0"/>
              <w:right w:val="single" w:sz="4" w:space="0" w:color="000080"/>
            </w:tcBorders>
            <w:shd w:val="clear" w:color="auto" w:fill="auto"/>
            <w:vAlign w:val="center"/>
            <w:hideMark/>
          </w:tcPr>
          <w:p w14:paraId="6E90DC49"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Kapitalni prijenosi između proračunskih korisnika istog proračuna</w:t>
            </w:r>
          </w:p>
        </w:tc>
        <w:tc>
          <w:tcPr>
            <w:tcW w:w="2919" w:type="dxa"/>
            <w:tcBorders>
              <w:top w:val="nil"/>
              <w:left w:val="nil"/>
              <w:bottom w:val="single" w:sz="4" w:space="0" w:color="C0C0C0"/>
              <w:right w:val="single" w:sz="4" w:space="0" w:color="000080"/>
            </w:tcBorders>
            <w:shd w:val="clear" w:color="auto" w:fill="auto"/>
            <w:vAlign w:val="center"/>
            <w:hideMark/>
          </w:tcPr>
          <w:p w14:paraId="465FD0BC"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3692</w:t>
            </w:r>
          </w:p>
        </w:tc>
        <w:tc>
          <w:tcPr>
            <w:tcW w:w="1462" w:type="dxa"/>
            <w:tcBorders>
              <w:top w:val="nil"/>
              <w:left w:val="nil"/>
              <w:bottom w:val="single" w:sz="4" w:space="0" w:color="C0C0C0"/>
              <w:right w:val="single" w:sz="4" w:space="0" w:color="000080"/>
            </w:tcBorders>
            <w:shd w:val="clear" w:color="auto" w:fill="auto"/>
            <w:noWrap/>
            <w:vAlign w:val="center"/>
            <w:hideMark/>
          </w:tcPr>
          <w:p w14:paraId="64D78BA5"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3C15207E"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550.000,00</w:t>
            </w:r>
          </w:p>
        </w:tc>
        <w:tc>
          <w:tcPr>
            <w:tcW w:w="1574" w:type="dxa"/>
            <w:tcBorders>
              <w:top w:val="nil"/>
              <w:left w:val="nil"/>
              <w:bottom w:val="single" w:sz="4" w:space="0" w:color="C0C0C0"/>
              <w:right w:val="single" w:sz="4" w:space="0" w:color="000000"/>
            </w:tcBorders>
            <w:shd w:val="clear" w:color="auto" w:fill="auto"/>
            <w:noWrap/>
            <w:vAlign w:val="center"/>
            <w:hideMark/>
          </w:tcPr>
          <w:p w14:paraId="118C5CAA"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16466B56"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2FA82E9D"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3693</w:t>
            </w:r>
          </w:p>
        </w:tc>
        <w:tc>
          <w:tcPr>
            <w:tcW w:w="5157" w:type="dxa"/>
            <w:tcBorders>
              <w:top w:val="nil"/>
              <w:left w:val="nil"/>
              <w:bottom w:val="single" w:sz="4" w:space="0" w:color="C0C0C0"/>
              <w:right w:val="single" w:sz="4" w:space="0" w:color="000080"/>
            </w:tcBorders>
            <w:shd w:val="clear" w:color="auto" w:fill="auto"/>
            <w:vAlign w:val="center"/>
            <w:hideMark/>
          </w:tcPr>
          <w:p w14:paraId="62111081"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Tekući prijenosi između proračunskih korisnika istog proračuna temeljem prijenosa EU sredstava</w:t>
            </w:r>
          </w:p>
        </w:tc>
        <w:tc>
          <w:tcPr>
            <w:tcW w:w="2919" w:type="dxa"/>
            <w:tcBorders>
              <w:top w:val="nil"/>
              <w:left w:val="nil"/>
              <w:bottom w:val="single" w:sz="4" w:space="0" w:color="C0C0C0"/>
              <w:right w:val="single" w:sz="4" w:space="0" w:color="000080"/>
            </w:tcBorders>
            <w:shd w:val="clear" w:color="auto" w:fill="auto"/>
            <w:vAlign w:val="center"/>
            <w:hideMark/>
          </w:tcPr>
          <w:p w14:paraId="43B30C0A"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3693</w:t>
            </w:r>
          </w:p>
        </w:tc>
        <w:tc>
          <w:tcPr>
            <w:tcW w:w="1462" w:type="dxa"/>
            <w:tcBorders>
              <w:top w:val="nil"/>
              <w:left w:val="nil"/>
              <w:bottom w:val="single" w:sz="4" w:space="0" w:color="C0C0C0"/>
              <w:right w:val="single" w:sz="4" w:space="0" w:color="000080"/>
            </w:tcBorders>
            <w:shd w:val="clear" w:color="auto" w:fill="auto"/>
            <w:noWrap/>
            <w:vAlign w:val="center"/>
            <w:hideMark/>
          </w:tcPr>
          <w:p w14:paraId="46E1BA0B"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90.446,15</w:t>
            </w:r>
          </w:p>
        </w:tc>
        <w:tc>
          <w:tcPr>
            <w:tcW w:w="1462" w:type="dxa"/>
            <w:tcBorders>
              <w:top w:val="nil"/>
              <w:left w:val="nil"/>
              <w:bottom w:val="single" w:sz="4" w:space="0" w:color="C0C0C0"/>
              <w:right w:val="single" w:sz="4" w:space="0" w:color="000080"/>
            </w:tcBorders>
            <w:shd w:val="clear" w:color="auto" w:fill="auto"/>
            <w:noWrap/>
            <w:vAlign w:val="center"/>
            <w:hideMark/>
          </w:tcPr>
          <w:p w14:paraId="5CAB0CBD"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 </w:t>
            </w:r>
          </w:p>
        </w:tc>
        <w:tc>
          <w:tcPr>
            <w:tcW w:w="1574" w:type="dxa"/>
            <w:tcBorders>
              <w:top w:val="nil"/>
              <w:left w:val="nil"/>
              <w:bottom w:val="single" w:sz="4" w:space="0" w:color="C0C0C0"/>
              <w:right w:val="single" w:sz="4" w:space="0" w:color="000000"/>
            </w:tcBorders>
            <w:shd w:val="clear" w:color="auto" w:fill="auto"/>
            <w:noWrap/>
            <w:vAlign w:val="center"/>
            <w:hideMark/>
          </w:tcPr>
          <w:p w14:paraId="29149936"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0,0</w:t>
            </w:r>
          </w:p>
        </w:tc>
      </w:tr>
      <w:tr w:rsidR="00A920E6" w:rsidRPr="00A920E6" w14:paraId="5657C22E"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269ED55F"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37</w:t>
            </w:r>
          </w:p>
        </w:tc>
        <w:tc>
          <w:tcPr>
            <w:tcW w:w="5157" w:type="dxa"/>
            <w:tcBorders>
              <w:top w:val="nil"/>
              <w:left w:val="nil"/>
              <w:bottom w:val="single" w:sz="4" w:space="0" w:color="C0C0C0"/>
              <w:right w:val="single" w:sz="4" w:space="0" w:color="000080"/>
            </w:tcBorders>
            <w:shd w:val="clear" w:color="auto" w:fill="auto"/>
            <w:vAlign w:val="center"/>
            <w:hideMark/>
          </w:tcPr>
          <w:p w14:paraId="366C51BD"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Naknade građanima i kućanstvima na temelju osiguranja i druge naknade (šifre 371+372)</w:t>
            </w:r>
          </w:p>
        </w:tc>
        <w:tc>
          <w:tcPr>
            <w:tcW w:w="2919" w:type="dxa"/>
            <w:tcBorders>
              <w:top w:val="nil"/>
              <w:left w:val="nil"/>
              <w:bottom w:val="single" w:sz="4" w:space="0" w:color="C0C0C0"/>
              <w:right w:val="single" w:sz="4" w:space="0" w:color="000080"/>
            </w:tcBorders>
            <w:shd w:val="clear" w:color="auto" w:fill="auto"/>
            <w:vAlign w:val="center"/>
            <w:hideMark/>
          </w:tcPr>
          <w:p w14:paraId="74888A49"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37</w:t>
            </w:r>
          </w:p>
        </w:tc>
        <w:tc>
          <w:tcPr>
            <w:tcW w:w="1462" w:type="dxa"/>
            <w:tcBorders>
              <w:top w:val="nil"/>
              <w:left w:val="nil"/>
              <w:bottom w:val="single" w:sz="4" w:space="0" w:color="C0C0C0"/>
              <w:right w:val="single" w:sz="4" w:space="0" w:color="000080"/>
            </w:tcBorders>
            <w:shd w:val="clear" w:color="auto" w:fill="auto"/>
            <w:noWrap/>
            <w:vAlign w:val="center"/>
            <w:hideMark/>
          </w:tcPr>
          <w:p w14:paraId="352E0F6D"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7.689.662,22</w:t>
            </w:r>
          </w:p>
        </w:tc>
        <w:tc>
          <w:tcPr>
            <w:tcW w:w="1462" w:type="dxa"/>
            <w:tcBorders>
              <w:top w:val="nil"/>
              <w:left w:val="nil"/>
              <w:bottom w:val="single" w:sz="4" w:space="0" w:color="C0C0C0"/>
              <w:right w:val="single" w:sz="4" w:space="0" w:color="000080"/>
            </w:tcBorders>
            <w:shd w:val="clear" w:color="auto" w:fill="auto"/>
            <w:noWrap/>
            <w:vAlign w:val="center"/>
            <w:hideMark/>
          </w:tcPr>
          <w:p w14:paraId="43129AA5"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5.559.285,92</w:t>
            </w:r>
          </w:p>
        </w:tc>
        <w:tc>
          <w:tcPr>
            <w:tcW w:w="1574" w:type="dxa"/>
            <w:tcBorders>
              <w:top w:val="nil"/>
              <w:left w:val="nil"/>
              <w:bottom w:val="single" w:sz="4" w:space="0" w:color="C0C0C0"/>
              <w:right w:val="single" w:sz="4" w:space="0" w:color="000000"/>
            </w:tcBorders>
            <w:shd w:val="clear" w:color="auto" w:fill="auto"/>
            <w:noWrap/>
            <w:vAlign w:val="center"/>
            <w:hideMark/>
          </w:tcPr>
          <w:p w14:paraId="3BC381CF"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72,3</w:t>
            </w:r>
          </w:p>
        </w:tc>
      </w:tr>
      <w:tr w:rsidR="00A920E6" w:rsidRPr="00A920E6" w14:paraId="66B778E5"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36A113B3"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372</w:t>
            </w:r>
          </w:p>
        </w:tc>
        <w:tc>
          <w:tcPr>
            <w:tcW w:w="5157" w:type="dxa"/>
            <w:tcBorders>
              <w:top w:val="nil"/>
              <w:left w:val="nil"/>
              <w:bottom w:val="single" w:sz="4" w:space="0" w:color="C0C0C0"/>
              <w:right w:val="single" w:sz="4" w:space="0" w:color="000080"/>
            </w:tcBorders>
            <w:shd w:val="clear" w:color="auto" w:fill="auto"/>
            <w:vAlign w:val="center"/>
            <w:hideMark/>
          </w:tcPr>
          <w:p w14:paraId="5C7D912B" w14:textId="77777777" w:rsidR="00A920E6" w:rsidRPr="00A920E6" w:rsidRDefault="00A920E6" w:rsidP="00A920E6">
            <w:pPr>
              <w:rPr>
                <w:rFonts w:ascii="Arial" w:hAnsi="Arial" w:cs="Arial"/>
                <w:sz w:val="18"/>
                <w:szCs w:val="18"/>
              </w:rPr>
            </w:pPr>
            <w:r w:rsidRPr="00A920E6">
              <w:rPr>
                <w:rFonts w:ascii="Arial" w:hAnsi="Arial" w:cs="Arial"/>
                <w:sz w:val="18"/>
                <w:szCs w:val="18"/>
              </w:rPr>
              <w:t xml:space="preserve">Ostale naknade građanima i kućanstvima iz proračuna (šifre 3721 do 3723) </w:t>
            </w:r>
          </w:p>
        </w:tc>
        <w:tc>
          <w:tcPr>
            <w:tcW w:w="2919" w:type="dxa"/>
            <w:tcBorders>
              <w:top w:val="nil"/>
              <w:left w:val="nil"/>
              <w:bottom w:val="single" w:sz="4" w:space="0" w:color="C0C0C0"/>
              <w:right w:val="single" w:sz="4" w:space="0" w:color="000080"/>
            </w:tcBorders>
            <w:shd w:val="clear" w:color="auto" w:fill="auto"/>
            <w:vAlign w:val="center"/>
            <w:hideMark/>
          </w:tcPr>
          <w:p w14:paraId="583701FA"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372</w:t>
            </w:r>
          </w:p>
        </w:tc>
        <w:tc>
          <w:tcPr>
            <w:tcW w:w="1462" w:type="dxa"/>
            <w:tcBorders>
              <w:top w:val="nil"/>
              <w:left w:val="nil"/>
              <w:bottom w:val="single" w:sz="4" w:space="0" w:color="C0C0C0"/>
              <w:right w:val="single" w:sz="4" w:space="0" w:color="000080"/>
            </w:tcBorders>
            <w:shd w:val="clear" w:color="auto" w:fill="auto"/>
            <w:noWrap/>
            <w:vAlign w:val="center"/>
            <w:hideMark/>
          </w:tcPr>
          <w:p w14:paraId="5153A81D"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7.689.662,22</w:t>
            </w:r>
          </w:p>
        </w:tc>
        <w:tc>
          <w:tcPr>
            <w:tcW w:w="1462" w:type="dxa"/>
            <w:tcBorders>
              <w:top w:val="nil"/>
              <w:left w:val="nil"/>
              <w:bottom w:val="single" w:sz="4" w:space="0" w:color="C0C0C0"/>
              <w:right w:val="single" w:sz="4" w:space="0" w:color="000080"/>
            </w:tcBorders>
            <w:shd w:val="clear" w:color="auto" w:fill="auto"/>
            <w:noWrap/>
            <w:vAlign w:val="center"/>
            <w:hideMark/>
          </w:tcPr>
          <w:p w14:paraId="116547A4"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5.559.285,92</w:t>
            </w:r>
          </w:p>
        </w:tc>
        <w:tc>
          <w:tcPr>
            <w:tcW w:w="1574" w:type="dxa"/>
            <w:tcBorders>
              <w:top w:val="nil"/>
              <w:left w:val="nil"/>
              <w:bottom w:val="single" w:sz="4" w:space="0" w:color="C0C0C0"/>
              <w:right w:val="single" w:sz="4" w:space="0" w:color="000000"/>
            </w:tcBorders>
            <w:shd w:val="clear" w:color="auto" w:fill="auto"/>
            <w:noWrap/>
            <w:vAlign w:val="center"/>
            <w:hideMark/>
          </w:tcPr>
          <w:p w14:paraId="757A0FA7"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72,3</w:t>
            </w:r>
          </w:p>
        </w:tc>
      </w:tr>
      <w:tr w:rsidR="00A920E6" w:rsidRPr="00A920E6" w14:paraId="3276B602"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27A5D384"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3721</w:t>
            </w:r>
          </w:p>
        </w:tc>
        <w:tc>
          <w:tcPr>
            <w:tcW w:w="5157" w:type="dxa"/>
            <w:tcBorders>
              <w:top w:val="nil"/>
              <w:left w:val="nil"/>
              <w:bottom w:val="single" w:sz="4" w:space="0" w:color="C0C0C0"/>
              <w:right w:val="single" w:sz="4" w:space="0" w:color="000080"/>
            </w:tcBorders>
            <w:shd w:val="clear" w:color="auto" w:fill="auto"/>
            <w:vAlign w:val="center"/>
            <w:hideMark/>
          </w:tcPr>
          <w:p w14:paraId="1FB03F21" w14:textId="77777777" w:rsidR="00A920E6" w:rsidRPr="00A920E6" w:rsidRDefault="00A920E6" w:rsidP="00A920E6">
            <w:pPr>
              <w:rPr>
                <w:rFonts w:ascii="Arial" w:hAnsi="Arial" w:cs="Arial"/>
                <w:sz w:val="18"/>
                <w:szCs w:val="18"/>
              </w:rPr>
            </w:pPr>
            <w:r w:rsidRPr="00A920E6">
              <w:rPr>
                <w:rFonts w:ascii="Arial" w:hAnsi="Arial" w:cs="Arial"/>
                <w:sz w:val="18"/>
                <w:szCs w:val="18"/>
              </w:rPr>
              <w:t xml:space="preserve">Naknade građanima i kućanstvima u novcu </w:t>
            </w:r>
          </w:p>
        </w:tc>
        <w:tc>
          <w:tcPr>
            <w:tcW w:w="2919" w:type="dxa"/>
            <w:tcBorders>
              <w:top w:val="nil"/>
              <w:left w:val="nil"/>
              <w:bottom w:val="single" w:sz="4" w:space="0" w:color="C0C0C0"/>
              <w:right w:val="single" w:sz="4" w:space="0" w:color="000080"/>
            </w:tcBorders>
            <w:shd w:val="clear" w:color="auto" w:fill="auto"/>
            <w:vAlign w:val="center"/>
            <w:hideMark/>
          </w:tcPr>
          <w:p w14:paraId="4772961A"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3721</w:t>
            </w:r>
          </w:p>
        </w:tc>
        <w:tc>
          <w:tcPr>
            <w:tcW w:w="1462" w:type="dxa"/>
            <w:tcBorders>
              <w:top w:val="nil"/>
              <w:left w:val="nil"/>
              <w:bottom w:val="single" w:sz="4" w:space="0" w:color="C0C0C0"/>
              <w:right w:val="single" w:sz="4" w:space="0" w:color="000080"/>
            </w:tcBorders>
            <w:shd w:val="clear" w:color="auto" w:fill="auto"/>
            <w:noWrap/>
            <w:vAlign w:val="center"/>
            <w:hideMark/>
          </w:tcPr>
          <w:p w14:paraId="11F5375E"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273.268,30</w:t>
            </w:r>
          </w:p>
        </w:tc>
        <w:tc>
          <w:tcPr>
            <w:tcW w:w="1462" w:type="dxa"/>
            <w:tcBorders>
              <w:top w:val="nil"/>
              <w:left w:val="nil"/>
              <w:bottom w:val="single" w:sz="4" w:space="0" w:color="C0C0C0"/>
              <w:right w:val="single" w:sz="4" w:space="0" w:color="000080"/>
            </w:tcBorders>
            <w:shd w:val="clear" w:color="auto" w:fill="auto"/>
            <w:noWrap/>
            <w:vAlign w:val="center"/>
            <w:hideMark/>
          </w:tcPr>
          <w:p w14:paraId="0759D569"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291.022,79</w:t>
            </w:r>
          </w:p>
        </w:tc>
        <w:tc>
          <w:tcPr>
            <w:tcW w:w="1574" w:type="dxa"/>
            <w:tcBorders>
              <w:top w:val="nil"/>
              <w:left w:val="nil"/>
              <w:bottom w:val="single" w:sz="4" w:space="0" w:color="C0C0C0"/>
              <w:right w:val="single" w:sz="4" w:space="0" w:color="000000"/>
            </w:tcBorders>
            <w:shd w:val="clear" w:color="auto" w:fill="auto"/>
            <w:noWrap/>
            <w:vAlign w:val="center"/>
            <w:hideMark/>
          </w:tcPr>
          <w:p w14:paraId="1C5CE2D5"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106,5</w:t>
            </w:r>
          </w:p>
        </w:tc>
      </w:tr>
      <w:tr w:rsidR="00A920E6" w:rsidRPr="00A920E6" w14:paraId="037DE1B4"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0F314026"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3722</w:t>
            </w:r>
          </w:p>
        </w:tc>
        <w:tc>
          <w:tcPr>
            <w:tcW w:w="5157" w:type="dxa"/>
            <w:tcBorders>
              <w:top w:val="nil"/>
              <w:left w:val="nil"/>
              <w:bottom w:val="single" w:sz="4" w:space="0" w:color="C0C0C0"/>
              <w:right w:val="single" w:sz="4" w:space="0" w:color="000080"/>
            </w:tcBorders>
            <w:shd w:val="clear" w:color="auto" w:fill="auto"/>
            <w:vAlign w:val="center"/>
            <w:hideMark/>
          </w:tcPr>
          <w:p w14:paraId="6F76A7FA" w14:textId="77777777" w:rsidR="00A920E6" w:rsidRPr="00A920E6" w:rsidRDefault="00A920E6" w:rsidP="00A920E6">
            <w:pPr>
              <w:rPr>
                <w:rFonts w:ascii="Arial" w:hAnsi="Arial" w:cs="Arial"/>
                <w:sz w:val="18"/>
                <w:szCs w:val="18"/>
              </w:rPr>
            </w:pPr>
            <w:r w:rsidRPr="00A920E6">
              <w:rPr>
                <w:rFonts w:ascii="Arial" w:hAnsi="Arial" w:cs="Arial"/>
                <w:sz w:val="18"/>
                <w:szCs w:val="18"/>
              </w:rPr>
              <w:t>Naknade građanima i kućanstvima u naravi</w:t>
            </w:r>
          </w:p>
        </w:tc>
        <w:tc>
          <w:tcPr>
            <w:tcW w:w="2919" w:type="dxa"/>
            <w:tcBorders>
              <w:top w:val="nil"/>
              <w:left w:val="nil"/>
              <w:bottom w:val="single" w:sz="4" w:space="0" w:color="C0C0C0"/>
              <w:right w:val="single" w:sz="4" w:space="0" w:color="000080"/>
            </w:tcBorders>
            <w:shd w:val="clear" w:color="auto" w:fill="auto"/>
            <w:vAlign w:val="center"/>
            <w:hideMark/>
          </w:tcPr>
          <w:p w14:paraId="3617082C"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3722</w:t>
            </w:r>
          </w:p>
        </w:tc>
        <w:tc>
          <w:tcPr>
            <w:tcW w:w="1462" w:type="dxa"/>
            <w:tcBorders>
              <w:top w:val="nil"/>
              <w:left w:val="nil"/>
              <w:bottom w:val="single" w:sz="4" w:space="0" w:color="C0C0C0"/>
              <w:right w:val="single" w:sz="4" w:space="0" w:color="000080"/>
            </w:tcBorders>
            <w:shd w:val="clear" w:color="auto" w:fill="auto"/>
            <w:noWrap/>
            <w:vAlign w:val="center"/>
            <w:hideMark/>
          </w:tcPr>
          <w:p w14:paraId="2CA15E9F"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7.416.393,92</w:t>
            </w:r>
          </w:p>
        </w:tc>
        <w:tc>
          <w:tcPr>
            <w:tcW w:w="1462" w:type="dxa"/>
            <w:tcBorders>
              <w:top w:val="nil"/>
              <w:left w:val="nil"/>
              <w:bottom w:val="single" w:sz="4" w:space="0" w:color="C0C0C0"/>
              <w:right w:val="single" w:sz="4" w:space="0" w:color="000080"/>
            </w:tcBorders>
            <w:shd w:val="clear" w:color="auto" w:fill="auto"/>
            <w:noWrap/>
            <w:vAlign w:val="center"/>
            <w:hideMark/>
          </w:tcPr>
          <w:p w14:paraId="45B7BD0C"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5.268.263,13</w:t>
            </w:r>
          </w:p>
        </w:tc>
        <w:tc>
          <w:tcPr>
            <w:tcW w:w="1574" w:type="dxa"/>
            <w:tcBorders>
              <w:top w:val="nil"/>
              <w:left w:val="nil"/>
              <w:bottom w:val="single" w:sz="4" w:space="0" w:color="C0C0C0"/>
              <w:right w:val="single" w:sz="4" w:space="0" w:color="000000"/>
            </w:tcBorders>
            <w:shd w:val="clear" w:color="auto" w:fill="auto"/>
            <w:noWrap/>
            <w:vAlign w:val="center"/>
            <w:hideMark/>
          </w:tcPr>
          <w:p w14:paraId="34DC538C"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71,0</w:t>
            </w:r>
          </w:p>
        </w:tc>
      </w:tr>
      <w:tr w:rsidR="00A920E6" w:rsidRPr="00A920E6" w14:paraId="63804D23"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14F4B328"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38</w:t>
            </w:r>
          </w:p>
        </w:tc>
        <w:tc>
          <w:tcPr>
            <w:tcW w:w="5157" w:type="dxa"/>
            <w:tcBorders>
              <w:top w:val="nil"/>
              <w:left w:val="nil"/>
              <w:bottom w:val="single" w:sz="4" w:space="0" w:color="C0C0C0"/>
              <w:right w:val="single" w:sz="4" w:space="0" w:color="000080"/>
            </w:tcBorders>
            <w:shd w:val="clear" w:color="auto" w:fill="auto"/>
            <w:vAlign w:val="center"/>
            <w:hideMark/>
          </w:tcPr>
          <w:p w14:paraId="0A89D269" w14:textId="77777777" w:rsidR="00A920E6" w:rsidRPr="00A920E6" w:rsidRDefault="00A920E6" w:rsidP="00A920E6">
            <w:pPr>
              <w:rPr>
                <w:rFonts w:ascii="Arial" w:hAnsi="Arial" w:cs="Arial"/>
                <w:sz w:val="18"/>
                <w:szCs w:val="18"/>
              </w:rPr>
            </w:pPr>
            <w:r w:rsidRPr="00A920E6">
              <w:rPr>
                <w:rFonts w:ascii="Arial" w:hAnsi="Arial" w:cs="Arial"/>
                <w:sz w:val="18"/>
                <w:szCs w:val="18"/>
              </w:rPr>
              <w:t>Rashodi za donacije, kazne, naknade šteta i kapitalne pomoći (šifre 381+382+383+386)</w:t>
            </w:r>
          </w:p>
        </w:tc>
        <w:tc>
          <w:tcPr>
            <w:tcW w:w="2919" w:type="dxa"/>
            <w:tcBorders>
              <w:top w:val="nil"/>
              <w:left w:val="nil"/>
              <w:bottom w:val="single" w:sz="4" w:space="0" w:color="C0C0C0"/>
              <w:right w:val="single" w:sz="4" w:space="0" w:color="000080"/>
            </w:tcBorders>
            <w:shd w:val="clear" w:color="auto" w:fill="auto"/>
            <w:vAlign w:val="center"/>
            <w:hideMark/>
          </w:tcPr>
          <w:p w14:paraId="6459C78E"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38</w:t>
            </w:r>
          </w:p>
        </w:tc>
        <w:tc>
          <w:tcPr>
            <w:tcW w:w="1462" w:type="dxa"/>
            <w:tcBorders>
              <w:top w:val="nil"/>
              <w:left w:val="nil"/>
              <w:bottom w:val="single" w:sz="4" w:space="0" w:color="C0C0C0"/>
              <w:right w:val="single" w:sz="4" w:space="0" w:color="000080"/>
            </w:tcBorders>
            <w:shd w:val="clear" w:color="auto" w:fill="auto"/>
            <w:noWrap/>
            <w:vAlign w:val="center"/>
            <w:hideMark/>
          </w:tcPr>
          <w:p w14:paraId="63498261"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93.942.827,62</w:t>
            </w:r>
          </w:p>
        </w:tc>
        <w:tc>
          <w:tcPr>
            <w:tcW w:w="1462" w:type="dxa"/>
            <w:tcBorders>
              <w:top w:val="nil"/>
              <w:left w:val="nil"/>
              <w:bottom w:val="single" w:sz="4" w:space="0" w:color="C0C0C0"/>
              <w:right w:val="single" w:sz="4" w:space="0" w:color="000080"/>
            </w:tcBorders>
            <w:shd w:val="clear" w:color="auto" w:fill="auto"/>
            <w:noWrap/>
            <w:vAlign w:val="center"/>
            <w:hideMark/>
          </w:tcPr>
          <w:p w14:paraId="161B9D61"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100.605.305,65</w:t>
            </w:r>
          </w:p>
        </w:tc>
        <w:tc>
          <w:tcPr>
            <w:tcW w:w="1574" w:type="dxa"/>
            <w:tcBorders>
              <w:top w:val="nil"/>
              <w:left w:val="nil"/>
              <w:bottom w:val="single" w:sz="4" w:space="0" w:color="C0C0C0"/>
              <w:right w:val="single" w:sz="4" w:space="0" w:color="000000"/>
            </w:tcBorders>
            <w:shd w:val="clear" w:color="auto" w:fill="auto"/>
            <w:noWrap/>
            <w:vAlign w:val="center"/>
            <w:hideMark/>
          </w:tcPr>
          <w:p w14:paraId="3C71596C"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107,1</w:t>
            </w:r>
          </w:p>
        </w:tc>
      </w:tr>
      <w:tr w:rsidR="00A920E6" w:rsidRPr="00A920E6" w14:paraId="77C1B9BF"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4C1C2DCD"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lastRenderedPageBreak/>
              <w:t>381</w:t>
            </w:r>
          </w:p>
        </w:tc>
        <w:tc>
          <w:tcPr>
            <w:tcW w:w="5157" w:type="dxa"/>
            <w:tcBorders>
              <w:top w:val="nil"/>
              <w:left w:val="nil"/>
              <w:bottom w:val="single" w:sz="4" w:space="0" w:color="C0C0C0"/>
              <w:right w:val="single" w:sz="4" w:space="0" w:color="000080"/>
            </w:tcBorders>
            <w:shd w:val="clear" w:color="auto" w:fill="auto"/>
            <w:vAlign w:val="center"/>
            <w:hideMark/>
          </w:tcPr>
          <w:p w14:paraId="7015F580"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 xml:space="preserve">Tekuće donacije (šifre 3811 do 3813) </w:t>
            </w:r>
          </w:p>
        </w:tc>
        <w:tc>
          <w:tcPr>
            <w:tcW w:w="2919" w:type="dxa"/>
            <w:tcBorders>
              <w:top w:val="nil"/>
              <w:left w:val="nil"/>
              <w:bottom w:val="single" w:sz="4" w:space="0" w:color="C0C0C0"/>
              <w:right w:val="single" w:sz="4" w:space="0" w:color="000080"/>
            </w:tcBorders>
            <w:shd w:val="clear" w:color="auto" w:fill="auto"/>
            <w:vAlign w:val="center"/>
            <w:hideMark/>
          </w:tcPr>
          <w:p w14:paraId="15781C26"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381</w:t>
            </w:r>
          </w:p>
        </w:tc>
        <w:tc>
          <w:tcPr>
            <w:tcW w:w="1462" w:type="dxa"/>
            <w:tcBorders>
              <w:top w:val="nil"/>
              <w:left w:val="nil"/>
              <w:bottom w:val="single" w:sz="4" w:space="0" w:color="C0C0C0"/>
              <w:right w:val="single" w:sz="4" w:space="0" w:color="000080"/>
            </w:tcBorders>
            <w:shd w:val="clear" w:color="auto" w:fill="auto"/>
            <w:noWrap/>
            <w:vAlign w:val="center"/>
            <w:hideMark/>
          </w:tcPr>
          <w:p w14:paraId="3BDC9FF8"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378.187,95</w:t>
            </w:r>
          </w:p>
        </w:tc>
        <w:tc>
          <w:tcPr>
            <w:tcW w:w="1462" w:type="dxa"/>
            <w:tcBorders>
              <w:top w:val="nil"/>
              <w:left w:val="nil"/>
              <w:bottom w:val="single" w:sz="4" w:space="0" w:color="C0C0C0"/>
              <w:right w:val="single" w:sz="4" w:space="0" w:color="000080"/>
            </w:tcBorders>
            <w:shd w:val="clear" w:color="auto" w:fill="auto"/>
            <w:noWrap/>
            <w:vAlign w:val="center"/>
            <w:hideMark/>
          </w:tcPr>
          <w:p w14:paraId="19F1AF7C"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72.214,70</w:t>
            </w:r>
          </w:p>
        </w:tc>
        <w:tc>
          <w:tcPr>
            <w:tcW w:w="1574" w:type="dxa"/>
            <w:tcBorders>
              <w:top w:val="nil"/>
              <w:left w:val="nil"/>
              <w:bottom w:val="single" w:sz="4" w:space="0" w:color="C0C0C0"/>
              <w:right w:val="single" w:sz="4" w:space="0" w:color="000000"/>
            </w:tcBorders>
            <w:shd w:val="clear" w:color="auto" w:fill="auto"/>
            <w:noWrap/>
            <w:vAlign w:val="center"/>
            <w:hideMark/>
          </w:tcPr>
          <w:p w14:paraId="67E5D8F9"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19,1</w:t>
            </w:r>
          </w:p>
        </w:tc>
      </w:tr>
      <w:tr w:rsidR="00A920E6" w:rsidRPr="00A920E6" w14:paraId="4E78A17A"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5DFFC6CD"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3811</w:t>
            </w:r>
          </w:p>
        </w:tc>
        <w:tc>
          <w:tcPr>
            <w:tcW w:w="5157" w:type="dxa"/>
            <w:tcBorders>
              <w:top w:val="nil"/>
              <w:left w:val="nil"/>
              <w:bottom w:val="single" w:sz="4" w:space="0" w:color="C0C0C0"/>
              <w:right w:val="single" w:sz="4" w:space="0" w:color="000080"/>
            </w:tcBorders>
            <w:shd w:val="clear" w:color="auto" w:fill="auto"/>
            <w:vAlign w:val="center"/>
            <w:hideMark/>
          </w:tcPr>
          <w:p w14:paraId="387A8E66"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Tekuće donacije u novcu</w:t>
            </w:r>
          </w:p>
        </w:tc>
        <w:tc>
          <w:tcPr>
            <w:tcW w:w="2919" w:type="dxa"/>
            <w:tcBorders>
              <w:top w:val="nil"/>
              <w:left w:val="nil"/>
              <w:bottom w:val="single" w:sz="4" w:space="0" w:color="C0C0C0"/>
              <w:right w:val="single" w:sz="4" w:space="0" w:color="000080"/>
            </w:tcBorders>
            <w:shd w:val="clear" w:color="auto" w:fill="auto"/>
            <w:vAlign w:val="center"/>
            <w:hideMark/>
          </w:tcPr>
          <w:p w14:paraId="50B5B66C"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3811</w:t>
            </w:r>
          </w:p>
        </w:tc>
        <w:tc>
          <w:tcPr>
            <w:tcW w:w="1462" w:type="dxa"/>
            <w:tcBorders>
              <w:top w:val="nil"/>
              <w:left w:val="nil"/>
              <w:bottom w:val="single" w:sz="4" w:space="0" w:color="C0C0C0"/>
              <w:right w:val="single" w:sz="4" w:space="0" w:color="000080"/>
            </w:tcBorders>
            <w:shd w:val="clear" w:color="auto" w:fill="auto"/>
            <w:noWrap/>
            <w:vAlign w:val="center"/>
            <w:hideMark/>
          </w:tcPr>
          <w:p w14:paraId="66241F21"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110.912,80</w:t>
            </w:r>
          </w:p>
        </w:tc>
        <w:tc>
          <w:tcPr>
            <w:tcW w:w="1462" w:type="dxa"/>
            <w:tcBorders>
              <w:top w:val="nil"/>
              <w:left w:val="nil"/>
              <w:bottom w:val="single" w:sz="4" w:space="0" w:color="C0C0C0"/>
              <w:right w:val="single" w:sz="4" w:space="0" w:color="000080"/>
            </w:tcBorders>
            <w:shd w:val="clear" w:color="auto" w:fill="auto"/>
            <w:noWrap/>
            <w:vAlign w:val="center"/>
            <w:hideMark/>
          </w:tcPr>
          <w:p w14:paraId="12CB2349"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72.214,70</w:t>
            </w:r>
          </w:p>
        </w:tc>
        <w:tc>
          <w:tcPr>
            <w:tcW w:w="1574" w:type="dxa"/>
            <w:tcBorders>
              <w:top w:val="nil"/>
              <w:left w:val="nil"/>
              <w:bottom w:val="single" w:sz="4" w:space="0" w:color="C0C0C0"/>
              <w:right w:val="single" w:sz="4" w:space="0" w:color="000000"/>
            </w:tcBorders>
            <w:shd w:val="clear" w:color="auto" w:fill="auto"/>
            <w:noWrap/>
            <w:vAlign w:val="center"/>
            <w:hideMark/>
          </w:tcPr>
          <w:p w14:paraId="16156962"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65,1</w:t>
            </w:r>
          </w:p>
        </w:tc>
      </w:tr>
      <w:tr w:rsidR="00A920E6" w:rsidRPr="00A920E6" w14:paraId="06FA5A80"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7F3FE69C"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3813</w:t>
            </w:r>
          </w:p>
        </w:tc>
        <w:tc>
          <w:tcPr>
            <w:tcW w:w="5157" w:type="dxa"/>
            <w:tcBorders>
              <w:top w:val="nil"/>
              <w:left w:val="nil"/>
              <w:bottom w:val="single" w:sz="4" w:space="0" w:color="C0C0C0"/>
              <w:right w:val="single" w:sz="4" w:space="0" w:color="000080"/>
            </w:tcBorders>
            <w:shd w:val="clear" w:color="auto" w:fill="auto"/>
            <w:vAlign w:val="center"/>
            <w:hideMark/>
          </w:tcPr>
          <w:p w14:paraId="517EEE46"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Tekuće donacije iz EU sredstava</w:t>
            </w:r>
          </w:p>
        </w:tc>
        <w:tc>
          <w:tcPr>
            <w:tcW w:w="2919" w:type="dxa"/>
            <w:tcBorders>
              <w:top w:val="nil"/>
              <w:left w:val="nil"/>
              <w:bottom w:val="single" w:sz="4" w:space="0" w:color="C0C0C0"/>
              <w:right w:val="single" w:sz="4" w:space="0" w:color="000080"/>
            </w:tcBorders>
            <w:shd w:val="clear" w:color="auto" w:fill="auto"/>
            <w:vAlign w:val="center"/>
            <w:hideMark/>
          </w:tcPr>
          <w:p w14:paraId="0D87DA29"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3813</w:t>
            </w:r>
          </w:p>
        </w:tc>
        <w:tc>
          <w:tcPr>
            <w:tcW w:w="1462" w:type="dxa"/>
            <w:tcBorders>
              <w:top w:val="nil"/>
              <w:left w:val="nil"/>
              <w:bottom w:val="single" w:sz="4" w:space="0" w:color="C0C0C0"/>
              <w:right w:val="single" w:sz="4" w:space="0" w:color="000080"/>
            </w:tcBorders>
            <w:shd w:val="clear" w:color="auto" w:fill="auto"/>
            <w:noWrap/>
            <w:vAlign w:val="center"/>
            <w:hideMark/>
          </w:tcPr>
          <w:p w14:paraId="2FC90B7F"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267.275,15</w:t>
            </w:r>
          </w:p>
        </w:tc>
        <w:tc>
          <w:tcPr>
            <w:tcW w:w="1462" w:type="dxa"/>
            <w:tcBorders>
              <w:top w:val="nil"/>
              <w:left w:val="nil"/>
              <w:bottom w:val="single" w:sz="4" w:space="0" w:color="C0C0C0"/>
              <w:right w:val="single" w:sz="4" w:space="0" w:color="000080"/>
            </w:tcBorders>
            <w:shd w:val="clear" w:color="auto" w:fill="auto"/>
            <w:noWrap/>
            <w:vAlign w:val="center"/>
            <w:hideMark/>
          </w:tcPr>
          <w:p w14:paraId="4ECACE3E"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 </w:t>
            </w:r>
          </w:p>
        </w:tc>
        <w:tc>
          <w:tcPr>
            <w:tcW w:w="1574" w:type="dxa"/>
            <w:tcBorders>
              <w:top w:val="nil"/>
              <w:left w:val="nil"/>
              <w:bottom w:val="single" w:sz="4" w:space="0" w:color="C0C0C0"/>
              <w:right w:val="single" w:sz="4" w:space="0" w:color="000000"/>
            </w:tcBorders>
            <w:shd w:val="clear" w:color="auto" w:fill="auto"/>
            <w:noWrap/>
            <w:vAlign w:val="center"/>
            <w:hideMark/>
          </w:tcPr>
          <w:p w14:paraId="555708D3"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0,0</w:t>
            </w:r>
          </w:p>
        </w:tc>
      </w:tr>
      <w:tr w:rsidR="00A920E6" w:rsidRPr="00A920E6" w14:paraId="16A159C9"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4D6E9DCA"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382</w:t>
            </w:r>
          </w:p>
        </w:tc>
        <w:tc>
          <w:tcPr>
            <w:tcW w:w="5157" w:type="dxa"/>
            <w:tcBorders>
              <w:top w:val="nil"/>
              <w:left w:val="nil"/>
              <w:bottom w:val="single" w:sz="4" w:space="0" w:color="C0C0C0"/>
              <w:right w:val="single" w:sz="4" w:space="0" w:color="000080"/>
            </w:tcBorders>
            <w:shd w:val="clear" w:color="auto" w:fill="auto"/>
            <w:vAlign w:val="center"/>
            <w:hideMark/>
          </w:tcPr>
          <w:p w14:paraId="27A83E8D" w14:textId="77777777" w:rsidR="00A920E6" w:rsidRPr="00A920E6" w:rsidRDefault="00A920E6" w:rsidP="00A920E6">
            <w:pPr>
              <w:rPr>
                <w:rFonts w:ascii="Arial" w:hAnsi="Arial" w:cs="Arial"/>
                <w:sz w:val="18"/>
                <w:szCs w:val="18"/>
              </w:rPr>
            </w:pPr>
            <w:r w:rsidRPr="00A920E6">
              <w:rPr>
                <w:rFonts w:ascii="Arial" w:hAnsi="Arial" w:cs="Arial"/>
                <w:sz w:val="18"/>
                <w:szCs w:val="18"/>
              </w:rPr>
              <w:t xml:space="preserve">Kapitalne donacije (šifre 3821 do 3824) </w:t>
            </w:r>
          </w:p>
        </w:tc>
        <w:tc>
          <w:tcPr>
            <w:tcW w:w="2919" w:type="dxa"/>
            <w:tcBorders>
              <w:top w:val="nil"/>
              <w:left w:val="nil"/>
              <w:bottom w:val="single" w:sz="4" w:space="0" w:color="C0C0C0"/>
              <w:right w:val="single" w:sz="4" w:space="0" w:color="000080"/>
            </w:tcBorders>
            <w:shd w:val="clear" w:color="auto" w:fill="auto"/>
            <w:vAlign w:val="center"/>
            <w:hideMark/>
          </w:tcPr>
          <w:p w14:paraId="7C747DD6"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382</w:t>
            </w:r>
          </w:p>
        </w:tc>
        <w:tc>
          <w:tcPr>
            <w:tcW w:w="1462" w:type="dxa"/>
            <w:tcBorders>
              <w:top w:val="nil"/>
              <w:left w:val="nil"/>
              <w:bottom w:val="single" w:sz="4" w:space="0" w:color="C0C0C0"/>
              <w:right w:val="single" w:sz="4" w:space="0" w:color="000080"/>
            </w:tcBorders>
            <w:shd w:val="clear" w:color="auto" w:fill="auto"/>
            <w:noWrap/>
            <w:vAlign w:val="center"/>
            <w:hideMark/>
          </w:tcPr>
          <w:p w14:paraId="1C0C7A0C"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22.420.617,12</w:t>
            </w:r>
          </w:p>
        </w:tc>
        <w:tc>
          <w:tcPr>
            <w:tcW w:w="1462" w:type="dxa"/>
            <w:tcBorders>
              <w:top w:val="nil"/>
              <w:left w:val="nil"/>
              <w:bottom w:val="single" w:sz="4" w:space="0" w:color="C0C0C0"/>
              <w:right w:val="single" w:sz="4" w:space="0" w:color="000080"/>
            </w:tcBorders>
            <w:shd w:val="clear" w:color="auto" w:fill="auto"/>
            <w:noWrap/>
            <w:vAlign w:val="center"/>
            <w:hideMark/>
          </w:tcPr>
          <w:p w14:paraId="25B2E937"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14.901.492,60</w:t>
            </w:r>
          </w:p>
        </w:tc>
        <w:tc>
          <w:tcPr>
            <w:tcW w:w="1574" w:type="dxa"/>
            <w:tcBorders>
              <w:top w:val="nil"/>
              <w:left w:val="nil"/>
              <w:bottom w:val="single" w:sz="4" w:space="0" w:color="C0C0C0"/>
              <w:right w:val="single" w:sz="4" w:space="0" w:color="000000"/>
            </w:tcBorders>
            <w:shd w:val="clear" w:color="auto" w:fill="auto"/>
            <w:noWrap/>
            <w:vAlign w:val="center"/>
            <w:hideMark/>
          </w:tcPr>
          <w:p w14:paraId="5BA9A810"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66,5</w:t>
            </w:r>
          </w:p>
        </w:tc>
      </w:tr>
      <w:tr w:rsidR="00A920E6" w:rsidRPr="00A920E6" w14:paraId="01990E80"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46FE440B"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3821</w:t>
            </w:r>
          </w:p>
        </w:tc>
        <w:tc>
          <w:tcPr>
            <w:tcW w:w="5157" w:type="dxa"/>
            <w:tcBorders>
              <w:top w:val="nil"/>
              <w:left w:val="nil"/>
              <w:bottom w:val="single" w:sz="4" w:space="0" w:color="C0C0C0"/>
              <w:right w:val="single" w:sz="4" w:space="0" w:color="000080"/>
            </w:tcBorders>
            <w:shd w:val="clear" w:color="auto" w:fill="auto"/>
            <w:vAlign w:val="center"/>
            <w:hideMark/>
          </w:tcPr>
          <w:p w14:paraId="2385338A"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Kapitalne donacije neprofitnim organizacijama</w:t>
            </w:r>
          </w:p>
        </w:tc>
        <w:tc>
          <w:tcPr>
            <w:tcW w:w="2919" w:type="dxa"/>
            <w:tcBorders>
              <w:top w:val="nil"/>
              <w:left w:val="nil"/>
              <w:bottom w:val="single" w:sz="4" w:space="0" w:color="C0C0C0"/>
              <w:right w:val="single" w:sz="4" w:space="0" w:color="000080"/>
            </w:tcBorders>
            <w:shd w:val="clear" w:color="auto" w:fill="auto"/>
            <w:vAlign w:val="center"/>
            <w:hideMark/>
          </w:tcPr>
          <w:p w14:paraId="4816EAEE"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3821</w:t>
            </w:r>
          </w:p>
        </w:tc>
        <w:tc>
          <w:tcPr>
            <w:tcW w:w="1462" w:type="dxa"/>
            <w:tcBorders>
              <w:top w:val="nil"/>
              <w:left w:val="nil"/>
              <w:bottom w:val="single" w:sz="4" w:space="0" w:color="C0C0C0"/>
              <w:right w:val="single" w:sz="4" w:space="0" w:color="000080"/>
            </w:tcBorders>
            <w:shd w:val="clear" w:color="auto" w:fill="auto"/>
            <w:noWrap/>
            <w:vAlign w:val="center"/>
            <w:hideMark/>
          </w:tcPr>
          <w:p w14:paraId="323F9656"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12.561.625,62</w:t>
            </w:r>
          </w:p>
        </w:tc>
        <w:tc>
          <w:tcPr>
            <w:tcW w:w="1462" w:type="dxa"/>
            <w:tcBorders>
              <w:top w:val="nil"/>
              <w:left w:val="nil"/>
              <w:bottom w:val="single" w:sz="4" w:space="0" w:color="C0C0C0"/>
              <w:right w:val="single" w:sz="4" w:space="0" w:color="000080"/>
            </w:tcBorders>
            <w:shd w:val="clear" w:color="auto" w:fill="auto"/>
            <w:noWrap/>
            <w:vAlign w:val="center"/>
            <w:hideMark/>
          </w:tcPr>
          <w:p w14:paraId="4C772DF8"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11.323.679,23</w:t>
            </w:r>
          </w:p>
        </w:tc>
        <w:tc>
          <w:tcPr>
            <w:tcW w:w="1574" w:type="dxa"/>
            <w:tcBorders>
              <w:top w:val="nil"/>
              <w:left w:val="nil"/>
              <w:bottom w:val="single" w:sz="4" w:space="0" w:color="C0C0C0"/>
              <w:right w:val="single" w:sz="4" w:space="0" w:color="000000"/>
            </w:tcBorders>
            <w:shd w:val="clear" w:color="auto" w:fill="auto"/>
            <w:noWrap/>
            <w:vAlign w:val="center"/>
            <w:hideMark/>
          </w:tcPr>
          <w:p w14:paraId="132B5CF0"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90,1</w:t>
            </w:r>
          </w:p>
        </w:tc>
      </w:tr>
      <w:tr w:rsidR="00A920E6" w:rsidRPr="00A920E6" w14:paraId="73559AD9"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771E79EE"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3823</w:t>
            </w:r>
          </w:p>
        </w:tc>
        <w:tc>
          <w:tcPr>
            <w:tcW w:w="5157" w:type="dxa"/>
            <w:tcBorders>
              <w:top w:val="nil"/>
              <w:left w:val="nil"/>
              <w:bottom w:val="single" w:sz="4" w:space="0" w:color="C0C0C0"/>
              <w:right w:val="single" w:sz="4" w:space="0" w:color="000080"/>
            </w:tcBorders>
            <w:shd w:val="clear" w:color="auto" w:fill="auto"/>
            <w:vAlign w:val="center"/>
            <w:hideMark/>
          </w:tcPr>
          <w:p w14:paraId="67388762"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Kapitalne donacije iz EU sredstava</w:t>
            </w:r>
          </w:p>
        </w:tc>
        <w:tc>
          <w:tcPr>
            <w:tcW w:w="2919" w:type="dxa"/>
            <w:tcBorders>
              <w:top w:val="nil"/>
              <w:left w:val="nil"/>
              <w:bottom w:val="single" w:sz="4" w:space="0" w:color="C0C0C0"/>
              <w:right w:val="single" w:sz="4" w:space="0" w:color="000080"/>
            </w:tcBorders>
            <w:shd w:val="clear" w:color="auto" w:fill="auto"/>
            <w:vAlign w:val="center"/>
            <w:hideMark/>
          </w:tcPr>
          <w:p w14:paraId="7EAEB867"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3823</w:t>
            </w:r>
          </w:p>
        </w:tc>
        <w:tc>
          <w:tcPr>
            <w:tcW w:w="1462" w:type="dxa"/>
            <w:tcBorders>
              <w:top w:val="nil"/>
              <w:left w:val="nil"/>
              <w:bottom w:val="single" w:sz="4" w:space="0" w:color="C0C0C0"/>
              <w:right w:val="single" w:sz="4" w:space="0" w:color="000080"/>
            </w:tcBorders>
            <w:shd w:val="clear" w:color="auto" w:fill="auto"/>
            <w:noWrap/>
            <w:vAlign w:val="center"/>
            <w:hideMark/>
          </w:tcPr>
          <w:p w14:paraId="0FE546A6"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9.858.991,50</w:t>
            </w:r>
          </w:p>
        </w:tc>
        <w:tc>
          <w:tcPr>
            <w:tcW w:w="1462" w:type="dxa"/>
            <w:tcBorders>
              <w:top w:val="nil"/>
              <w:left w:val="nil"/>
              <w:bottom w:val="single" w:sz="4" w:space="0" w:color="C0C0C0"/>
              <w:right w:val="single" w:sz="4" w:space="0" w:color="000080"/>
            </w:tcBorders>
            <w:shd w:val="clear" w:color="auto" w:fill="auto"/>
            <w:noWrap/>
            <w:vAlign w:val="center"/>
            <w:hideMark/>
          </w:tcPr>
          <w:p w14:paraId="69D41243"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3.577.813,37</w:t>
            </w:r>
          </w:p>
        </w:tc>
        <w:tc>
          <w:tcPr>
            <w:tcW w:w="1574" w:type="dxa"/>
            <w:tcBorders>
              <w:top w:val="nil"/>
              <w:left w:val="nil"/>
              <w:bottom w:val="single" w:sz="4" w:space="0" w:color="C0C0C0"/>
              <w:right w:val="single" w:sz="4" w:space="0" w:color="000000"/>
            </w:tcBorders>
            <w:shd w:val="clear" w:color="auto" w:fill="auto"/>
            <w:noWrap/>
            <w:vAlign w:val="center"/>
            <w:hideMark/>
          </w:tcPr>
          <w:p w14:paraId="07CD8AE1"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36,3</w:t>
            </w:r>
          </w:p>
        </w:tc>
      </w:tr>
      <w:tr w:rsidR="00A920E6" w:rsidRPr="00A920E6" w14:paraId="4B70B584"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39295B38"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383</w:t>
            </w:r>
          </w:p>
        </w:tc>
        <w:tc>
          <w:tcPr>
            <w:tcW w:w="5157" w:type="dxa"/>
            <w:tcBorders>
              <w:top w:val="nil"/>
              <w:left w:val="nil"/>
              <w:bottom w:val="single" w:sz="4" w:space="0" w:color="C0C0C0"/>
              <w:right w:val="single" w:sz="4" w:space="0" w:color="000080"/>
            </w:tcBorders>
            <w:shd w:val="clear" w:color="auto" w:fill="auto"/>
            <w:vAlign w:val="center"/>
            <w:hideMark/>
          </w:tcPr>
          <w:p w14:paraId="029D4F23"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Kazne, penali i naknade štete (šifre 3831 do 3835)</w:t>
            </w:r>
          </w:p>
        </w:tc>
        <w:tc>
          <w:tcPr>
            <w:tcW w:w="2919" w:type="dxa"/>
            <w:tcBorders>
              <w:top w:val="nil"/>
              <w:left w:val="nil"/>
              <w:bottom w:val="single" w:sz="4" w:space="0" w:color="C0C0C0"/>
              <w:right w:val="single" w:sz="4" w:space="0" w:color="000080"/>
            </w:tcBorders>
            <w:shd w:val="clear" w:color="auto" w:fill="auto"/>
            <w:vAlign w:val="center"/>
            <w:hideMark/>
          </w:tcPr>
          <w:p w14:paraId="67F19262"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383</w:t>
            </w:r>
          </w:p>
        </w:tc>
        <w:tc>
          <w:tcPr>
            <w:tcW w:w="1462" w:type="dxa"/>
            <w:tcBorders>
              <w:top w:val="nil"/>
              <w:left w:val="nil"/>
              <w:bottom w:val="single" w:sz="4" w:space="0" w:color="C0C0C0"/>
              <w:right w:val="single" w:sz="4" w:space="0" w:color="000080"/>
            </w:tcBorders>
            <w:shd w:val="clear" w:color="auto" w:fill="auto"/>
            <w:noWrap/>
            <w:vAlign w:val="center"/>
            <w:hideMark/>
          </w:tcPr>
          <w:p w14:paraId="39899AF0"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10.949.360,78</w:t>
            </w:r>
          </w:p>
        </w:tc>
        <w:tc>
          <w:tcPr>
            <w:tcW w:w="1462" w:type="dxa"/>
            <w:tcBorders>
              <w:top w:val="nil"/>
              <w:left w:val="nil"/>
              <w:bottom w:val="single" w:sz="4" w:space="0" w:color="C0C0C0"/>
              <w:right w:val="single" w:sz="4" w:space="0" w:color="000080"/>
            </w:tcBorders>
            <w:shd w:val="clear" w:color="auto" w:fill="auto"/>
            <w:noWrap/>
            <w:vAlign w:val="center"/>
            <w:hideMark/>
          </w:tcPr>
          <w:p w14:paraId="6F09B1CA"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32.156.786,75</w:t>
            </w:r>
          </w:p>
        </w:tc>
        <w:tc>
          <w:tcPr>
            <w:tcW w:w="1574" w:type="dxa"/>
            <w:tcBorders>
              <w:top w:val="nil"/>
              <w:left w:val="nil"/>
              <w:bottom w:val="single" w:sz="4" w:space="0" w:color="C0C0C0"/>
              <w:right w:val="single" w:sz="4" w:space="0" w:color="000000"/>
            </w:tcBorders>
            <w:shd w:val="clear" w:color="auto" w:fill="auto"/>
            <w:noWrap/>
            <w:vAlign w:val="center"/>
            <w:hideMark/>
          </w:tcPr>
          <w:p w14:paraId="61F692F5"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293,7</w:t>
            </w:r>
          </w:p>
        </w:tc>
      </w:tr>
      <w:tr w:rsidR="00A920E6" w:rsidRPr="00A920E6" w14:paraId="2FC201C0"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3DF0741A"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3831</w:t>
            </w:r>
          </w:p>
        </w:tc>
        <w:tc>
          <w:tcPr>
            <w:tcW w:w="5157" w:type="dxa"/>
            <w:tcBorders>
              <w:top w:val="nil"/>
              <w:left w:val="nil"/>
              <w:bottom w:val="single" w:sz="4" w:space="0" w:color="C0C0C0"/>
              <w:right w:val="single" w:sz="4" w:space="0" w:color="000080"/>
            </w:tcBorders>
            <w:shd w:val="clear" w:color="auto" w:fill="auto"/>
            <w:vAlign w:val="center"/>
            <w:hideMark/>
          </w:tcPr>
          <w:p w14:paraId="4CA2D98B"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Naknade šteta pravnim i fizičkim osobama</w:t>
            </w:r>
          </w:p>
        </w:tc>
        <w:tc>
          <w:tcPr>
            <w:tcW w:w="2919" w:type="dxa"/>
            <w:tcBorders>
              <w:top w:val="nil"/>
              <w:left w:val="nil"/>
              <w:bottom w:val="single" w:sz="4" w:space="0" w:color="C0C0C0"/>
              <w:right w:val="single" w:sz="4" w:space="0" w:color="000080"/>
            </w:tcBorders>
            <w:shd w:val="clear" w:color="auto" w:fill="auto"/>
            <w:vAlign w:val="center"/>
            <w:hideMark/>
          </w:tcPr>
          <w:p w14:paraId="1E808A02"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3831</w:t>
            </w:r>
          </w:p>
        </w:tc>
        <w:tc>
          <w:tcPr>
            <w:tcW w:w="1462" w:type="dxa"/>
            <w:tcBorders>
              <w:top w:val="nil"/>
              <w:left w:val="nil"/>
              <w:bottom w:val="single" w:sz="4" w:space="0" w:color="C0C0C0"/>
              <w:right w:val="single" w:sz="4" w:space="0" w:color="000080"/>
            </w:tcBorders>
            <w:shd w:val="clear" w:color="auto" w:fill="auto"/>
            <w:noWrap/>
            <w:vAlign w:val="center"/>
            <w:hideMark/>
          </w:tcPr>
          <w:p w14:paraId="443B2067"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10.936.113,70</w:t>
            </w:r>
          </w:p>
        </w:tc>
        <w:tc>
          <w:tcPr>
            <w:tcW w:w="1462" w:type="dxa"/>
            <w:tcBorders>
              <w:top w:val="nil"/>
              <w:left w:val="nil"/>
              <w:bottom w:val="single" w:sz="4" w:space="0" w:color="C0C0C0"/>
              <w:right w:val="single" w:sz="4" w:space="0" w:color="000080"/>
            </w:tcBorders>
            <w:shd w:val="clear" w:color="auto" w:fill="auto"/>
            <w:noWrap/>
            <w:vAlign w:val="center"/>
            <w:hideMark/>
          </w:tcPr>
          <w:p w14:paraId="2B56F9AB"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32.155.593,99</w:t>
            </w:r>
          </w:p>
        </w:tc>
        <w:tc>
          <w:tcPr>
            <w:tcW w:w="1574" w:type="dxa"/>
            <w:tcBorders>
              <w:top w:val="nil"/>
              <w:left w:val="nil"/>
              <w:bottom w:val="single" w:sz="4" w:space="0" w:color="C0C0C0"/>
              <w:right w:val="single" w:sz="4" w:space="0" w:color="000000"/>
            </w:tcBorders>
            <w:shd w:val="clear" w:color="auto" w:fill="auto"/>
            <w:noWrap/>
            <w:vAlign w:val="center"/>
            <w:hideMark/>
          </w:tcPr>
          <w:p w14:paraId="42B4DE54"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294,0</w:t>
            </w:r>
          </w:p>
        </w:tc>
      </w:tr>
      <w:tr w:rsidR="00A920E6" w:rsidRPr="00A920E6" w14:paraId="41B5ABCB"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224A6B1B"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3834</w:t>
            </w:r>
          </w:p>
        </w:tc>
        <w:tc>
          <w:tcPr>
            <w:tcW w:w="5157" w:type="dxa"/>
            <w:tcBorders>
              <w:top w:val="nil"/>
              <w:left w:val="nil"/>
              <w:bottom w:val="single" w:sz="4" w:space="0" w:color="C0C0C0"/>
              <w:right w:val="single" w:sz="4" w:space="0" w:color="000080"/>
            </w:tcBorders>
            <w:shd w:val="clear" w:color="auto" w:fill="auto"/>
            <w:vAlign w:val="center"/>
            <w:hideMark/>
          </w:tcPr>
          <w:p w14:paraId="1BFBA555"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Ugovorene kazne i ostale naknade šteta</w:t>
            </w:r>
          </w:p>
        </w:tc>
        <w:tc>
          <w:tcPr>
            <w:tcW w:w="2919" w:type="dxa"/>
            <w:tcBorders>
              <w:top w:val="nil"/>
              <w:left w:val="nil"/>
              <w:bottom w:val="single" w:sz="4" w:space="0" w:color="C0C0C0"/>
              <w:right w:val="single" w:sz="4" w:space="0" w:color="000080"/>
            </w:tcBorders>
            <w:shd w:val="clear" w:color="auto" w:fill="auto"/>
            <w:vAlign w:val="center"/>
            <w:hideMark/>
          </w:tcPr>
          <w:p w14:paraId="20025C09"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3834</w:t>
            </w:r>
          </w:p>
        </w:tc>
        <w:tc>
          <w:tcPr>
            <w:tcW w:w="1462" w:type="dxa"/>
            <w:tcBorders>
              <w:top w:val="nil"/>
              <w:left w:val="nil"/>
              <w:bottom w:val="single" w:sz="4" w:space="0" w:color="C0C0C0"/>
              <w:right w:val="single" w:sz="4" w:space="0" w:color="000080"/>
            </w:tcBorders>
            <w:shd w:val="clear" w:color="auto" w:fill="auto"/>
            <w:noWrap/>
            <w:vAlign w:val="center"/>
            <w:hideMark/>
          </w:tcPr>
          <w:p w14:paraId="15919AEA"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300,00</w:t>
            </w:r>
          </w:p>
        </w:tc>
        <w:tc>
          <w:tcPr>
            <w:tcW w:w="1462" w:type="dxa"/>
            <w:tcBorders>
              <w:top w:val="nil"/>
              <w:left w:val="nil"/>
              <w:bottom w:val="single" w:sz="4" w:space="0" w:color="C0C0C0"/>
              <w:right w:val="single" w:sz="4" w:space="0" w:color="000080"/>
            </w:tcBorders>
            <w:shd w:val="clear" w:color="auto" w:fill="auto"/>
            <w:noWrap/>
            <w:vAlign w:val="center"/>
            <w:hideMark/>
          </w:tcPr>
          <w:p w14:paraId="0DF0CE17"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129,38</w:t>
            </w:r>
          </w:p>
        </w:tc>
        <w:tc>
          <w:tcPr>
            <w:tcW w:w="1574" w:type="dxa"/>
            <w:tcBorders>
              <w:top w:val="nil"/>
              <w:left w:val="nil"/>
              <w:bottom w:val="single" w:sz="4" w:space="0" w:color="C0C0C0"/>
              <w:right w:val="single" w:sz="4" w:space="0" w:color="000000"/>
            </w:tcBorders>
            <w:shd w:val="clear" w:color="auto" w:fill="auto"/>
            <w:noWrap/>
            <w:vAlign w:val="center"/>
            <w:hideMark/>
          </w:tcPr>
          <w:p w14:paraId="6A1EFBFB"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43,1</w:t>
            </w:r>
          </w:p>
        </w:tc>
      </w:tr>
      <w:tr w:rsidR="00A920E6" w:rsidRPr="00A920E6" w14:paraId="660B57B7"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718C5BE4"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3835</w:t>
            </w:r>
          </w:p>
        </w:tc>
        <w:tc>
          <w:tcPr>
            <w:tcW w:w="5157" w:type="dxa"/>
            <w:tcBorders>
              <w:top w:val="nil"/>
              <w:left w:val="nil"/>
              <w:bottom w:val="single" w:sz="4" w:space="0" w:color="C0C0C0"/>
              <w:right w:val="single" w:sz="4" w:space="0" w:color="000080"/>
            </w:tcBorders>
            <w:shd w:val="clear" w:color="auto" w:fill="auto"/>
            <w:vAlign w:val="center"/>
            <w:hideMark/>
          </w:tcPr>
          <w:p w14:paraId="30AE2F2B"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Ostale kazne</w:t>
            </w:r>
          </w:p>
        </w:tc>
        <w:tc>
          <w:tcPr>
            <w:tcW w:w="2919" w:type="dxa"/>
            <w:tcBorders>
              <w:top w:val="nil"/>
              <w:left w:val="nil"/>
              <w:bottom w:val="single" w:sz="4" w:space="0" w:color="C0C0C0"/>
              <w:right w:val="single" w:sz="4" w:space="0" w:color="000080"/>
            </w:tcBorders>
            <w:shd w:val="clear" w:color="auto" w:fill="auto"/>
            <w:vAlign w:val="center"/>
            <w:hideMark/>
          </w:tcPr>
          <w:p w14:paraId="2554497B"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3835</w:t>
            </w:r>
          </w:p>
        </w:tc>
        <w:tc>
          <w:tcPr>
            <w:tcW w:w="1462" w:type="dxa"/>
            <w:tcBorders>
              <w:top w:val="nil"/>
              <w:left w:val="nil"/>
              <w:bottom w:val="single" w:sz="4" w:space="0" w:color="C0C0C0"/>
              <w:right w:val="single" w:sz="4" w:space="0" w:color="000080"/>
            </w:tcBorders>
            <w:shd w:val="clear" w:color="auto" w:fill="auto"/>
            <w:noWrap/>
            <w:vAlign w:val="center"/>
            <w:hideMark/>
          </w:tcPr>
          <w:p w14:paraId="2D93CAC0"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12.947,08</w:t>
            </w:r>
          </w:p>
        </w:tc>
        <w:tc>
          <w:tcPr>
            <w:tcW w:w="1462" w:type="dxa"/>
            <w:tcBorders>
              <w:top w:val="nil"/>
              <w:left w:val="nil"/>
              <w:bottom w:val="single" w:sz="4" w:space="0" w:color="C0C0C0"/>
              <w:right w:val="single" w:sz="4" w:space="0" w:color="000080"/>
            </w:tcBorders>
            <w:shd w:val="clear" w:color="auto" w:fill="auto"/>
            <w:noWrap/>
            <w:vAlign w:val="center"/>
            <w:hideMark/>
          </w:tcPr>
          <w:p w14:paraId="19D60424"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1.063,38</w:t>
            </w:r>
          </w:p>
        </w:tc>
        <w:tc>
          <w:tcPr>
            <w:tcW w:w="1574" w:type="dxa"/>
            <w:tcBorders>
              <w:top w:val="nil"/>
              <w:left w:val="nil"/>
              <w:bottom w:val="single" w:sz="4" w:space="0" w:color="C0C0C0"/>
              <w:right w:val="single" w:sz="4" w:space="0" w:color="000000"/>
            </w:tcBorders>
            <w:shd w:val="clear" w:color="auto" w:fill="auto"/>
            <w:noWrap/>
            <w:vAlign w:val="center"/>
            <w:hideMark/>
          </w:tcPr>
          <w:p w14:paraId="42698B21"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8,2</w:t>
            </w:r>
          </w:p>
        </w:tc>
      </w:tr>
      <w:tr w:rsidR="00A920E6" w:rsidRPr="00A920E6" w14:paraId="6FC3559C"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5C30E271"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386</w:t>
            </w:r>
          </w:p>
        </w:tc>
        <w:tc>
          <w:tcPr>
            <w:tcW w:w="5157" w:type="dxa"/>
            <w:tcBorders>
              <w:top w:val="nil"/>
              <w:left w:val="nil"/>
              <w:bottom w:val="single" w:sz="4" w:space="0" w:color="C0C0C0"/>
              <w:right w:val="single" w:sz="4" w:space="0" w:color="000080"/>
            </w:tcBorders>
            <w:shd w:val="clear" w:color="auto" w:fill="auto"/>
            <w:vAlign w:val="center"/>
            <w:hideMark/>
          </w:tcPr>
          <w:p w14:paraId="5A6BF685" w14:textId="77777777" w:rsidR="00A920E6" w:rsidRPr="00A920E6" w:rsidRDefault="00A920E6" w:rsidP="00A920E6">
            <w:pPr>
              <w:rPr>
                <w:rFonts w:ascii="Arial" w:hAnsi="Arial" w:cs="Arial"/>
                <w:sz w:val="18"/>
                <w:szCs w:val="18"/>
              </w:rPr>
            </w:pPr>
            <w:r w:rsidRPr="00A920E6">
              <w:rPr>
                <w:rFonts w:ascii="Arial" w:hAnsi="Arial" w:cs="Arial"/>
                <w:sz w:val="18"/>
                <w:szCs w:val="18"/>
              </w:rPr>
              <w:t>Kapitalne pomoći (šifre 3861 do 3865)</w:t>
            </w:r>
          </w:p>
        </w:tc>
        <w:tc>
          <w:tcPr>
            <w:tcW w:w="2919" w:type="dxa"/>
            <w:tcBorders>
              <w:top w:val="nil"/>
              <w:left w:val="nil"/>
              <w:bottom w:val="single" w:sz="4" w:space="0" w:color="C0C0C0"/>
              <w:right w:val="single" w:sz="4" w:space="0" w:color="000080"/>
            </w:tcBorders>
            <w:shd w:val="clear" w:color="auto" w:fill="auto"/>
            <w:vAlign w:val="center"/>
            <w:hideMark/>
          </w:tcPr>
          <w:p w14:paraId="7ADD349D"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386</w:t>
            </w:r>
          </w:p>
        </w:tc>
        <w:tc>
          <w:tcPr>
            <w:tcW w:w="1462" w:type="dxa"/>
            <w:tcBorders>
              <w:top w:val="nil"/>
              <w:left w:val="nil"/>
              <w:bottom w:val="single" w:sz="4" w:space="0" w:color="C0C0C0"/>
              <w:right w:val="single" w:sz="4" w:space="0" w:color="000080"/>
            </w:tcBorders>
            <w:shd w:val="clear" w:color="auto" w:fill="auto"/>
            <w:noWrap/>
            <w:vAlign w:val="center"/>
            <w:hideMark/>
          </w:tcPr>
          <w:p w14:paraId="1338653F"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60.194.661,77</w:t>
            </w:r>
          </w:p>
        </w:tc>
        <w:tc>
          <w:tcPr>
            <w:tcW w:w="1462" w:type="dxa"/>
            <w:tcBorders>
              <w:top w:val="nil"/>
              <w:left w:val="nil"/>
              <w:bottom w:val="single" w:sz="4" w:space="0" w:color="C0C0C0"/>
              <w:right w:val="single" w:sz="4" w:space="0" w:color="000080"/>
            </w:tcBorders>
            <w:shd w:val="clear" w:color="auto" w:fill="auto"/>
            <w:noWrap/>
            <w:vAlign w:val="center"/>
            <w:hideMark/>
          </w:tcPr>
          <w:p w14:paraId="7590DF40"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53.474.811,60</w:t>
            </w:r>
          </w:p>
        </w:tc>
        <w:tc>
          <w:tcPr>
            <w:tcW w:w="1574" w:type="dxa"/>
            <w:tcBorders>
              <w:top w:val="nil"/>
              <w:left w:val="nil"/>
              <w:bottom w:val="single" w:sz="4" w:space="0" w:color="C0C0C0"/>
              <w:right w:val="single" w:sz="4" w:space="0" w:color="000000"/>
            </w:tcBorders>
            <w:shd w:val="clear" w:color="auto" w:fill="auto"/>
            <w:noWrap/>
            <w:vAlign w:val="center"/>
            <w:hideMark/>
          </w:tcPr>
          <w:p w14:paraId="51D19163"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88,8</w:t>
            </w:r>
          </w:p>
        </w:tc>
      </w:tr>
      <w:tr w:rsidR="00A920E6" w:rsidRPr="00A920E6" w14:paraId="1E860980"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33B828ED"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3861</w:t>
            </w:r>
          </w:p>
        </w:tc>
        <w:tc>
          <w:tcPr>
            <w:tcW w:w="5157" w:type="dxa"/>
            <w:tcBorders>
              <w:top w:val="nil"/>
              <w:left w:val="nil"/>
              <w:bottom w:val="single" w:sz="4" w:space="0" w:color="C0C0C0"/>
              <w:right w:val="single" w:sz="4" w:space="0" w:color="000080"/>
            </w:tcBorders>
            <w:shd w:val="clear" w:color="auto" w:fill="auto"/>
            <w:vAlign w:val="center"/>
            <w:hideMark/>
          </w:tcPr>
          <w:p w14:paraId="3B06CB43"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Kapitalne pomoći kreditnim i ostalim financijskim institucijama te trgovačkim društvima u javnom sektoru</w:t>
            </w:r>
          </w:p>
        </w:tc>
        <w:tc>
          <w:tcPr>
            <w:tcW w:w="2919" w:type="dxa"/>
            <w:tcBorders>
              <w:top w:val="nil"/>
              <w:left w:val="nil"/>
              <w:bottom w:val="single" w:sz="4" w:space="0" w:color="C0C0C0"/>
              <w:right w:val="single" w:sz="4" w:space="0" w:color="000080"/>
            </w:tcBorders>
            <w:shd w:val="clear" w:color="auto" w:fill="auto"/>
            <w:vAlign w:val="center"/>
            <w:hideMark/>
          </w:tcPr>
          <w:p w14:paraId="0EB0A7E7"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3861</w:t>
            </w:r>
          </w:p>
        </w:tc>
        <w:tc>
          <w:tcPr>
            <w:tcW w:w="1462" w:type="dxa"/>
            <w:tcBorders>
              <w:top w:val="nil"/>
              <w:left w:val="nil"/>
              <w:bottom w:val="single" w:sz="4" w:space="0" w:color="C0C0C0"/>
              <w:right w:val="single" w:sz="4" w:space="0" w:color="000080"/>
            </w:tcBorders>
            <w:shd w:val="clear" w:color="auto" w:fill="auto"/>
            <w:noWrap/>
            <w:vAlign w:val="center"/>
            <w:hideMark/>
          </w:tcPr>
          <w:p w14:paraId="2A26053D"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6.177.779,43</w:t>
            </w:r>
          </w:p>
        </w:tc>
        <w:tc>
          <w:tcPr>
            <w:tcW w:w="1462" w:type="dxa"/>
            <w:tcBorders>
              <w:top w:val="nil"/>
              <w:left w:val="nil"/>
              <w:bottom w:val="single" w:sz="4" w:space="0" w:color="C0C0C0"/>
              <w:right w:val="single" w:sz="4" w:space="0" w:color="000080"/>
            </w:tcBorders>
            <w:shd w:val="clear" w:color="auto" w:fill="auto"/>
            <w:noWrap/>
            <w:vAlign w:val="center"/>
            <w:hideMark/>
          </w:tcPr>
          <w:p w14:paraId="0FA3B11B"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7.415.963,06</w:t>
            </w:r>
          </w:p>
        </w:tc>
        <w:tc>
          <w:tcPr>
            <w:tcW w:w="1574" w:type="dxa"/>
            <w:tcBorders>
              <w:top w:val="nil"/>
              <w:left w:val="nil"/>
              <w:bottom w:val="single" w:sz="4" w:space="0" w:color="C0C0C0"/>
              <w:right w:val="single" w:sz="4" w:space="0" w:color="000000"/>
            </w:tcBorders>
            <w:shd w:val="clear" w:color="auto" w:fill="auto"/>
            <w:noWrap/>
            <w:vAlign w:val="center"/>
            <w:hideMark/>
          </w:tcPr>
          <w:p w14:paraId="15CE1847"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120,0</w:t>
            </w:r>
          </w:p>
        </w:tc>
      </w:tr>
      <w:tr w:rsidR="00A920E6" w:rsidRPr="00A920E6" w14:paraId="31FB9545"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172745B3"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3862</w:t>
            </w:r>
          </w:p>
        </w:tc>
        <w:tc>
          <w:tcPr>
            <w:tcW w:w="5157" w:type="dxa"/>
            <w:tcBorders>
              <w:top w:val="nil"/>
              <w:left w:val="nil"/>
              <w:bottom w:val="single" w:sz="4" w:space="0" w:color="C0C0C0"/>
              <w:right w:val="single" w:sz="4" w:space="0" w:color="000080"/>
            </w:tcBorders>
            <w:shd w:val="clear" w:color="auto" w:fill="auto"/>
            <w:vAlign w:val="center"/>
            <w:hideMark/>
          </w:tcPr>
          <w:p w14:paraId="58A9A178" w14:textId="77777777" w:rsidR="00A920E6" w:rsidRPr="00A920E6" w:rsidRDefault="00A920E6" w:rsidP="00A920E6">
            <w:pPr>
              <w:rPr>
                <w:rFonts w:ascii="Arial" w:hAnsi="Arial" w:cs="Arial"/>
                <w:sz w:val="18"/>
                <w:szCs w:val="18"/>
              </w:rPr>
            </w:pPr>
            <w:r w:rsidRPr="00A920E6">
              <w:rPr>
                <w:rFonts w:ascii="Arial" w:hAnsi="Arial" w:cs="Arial"/>
                <w:sz w:val="18"/>
                <w:szCs w:val="18"/>
              </w:rPr>
              <w:t>Kapitalne pomoći kreditnim i ostalim financijskim institucijama te trgovačkim društvima i zadrugama izvan javnog sektora</w:t>
            </w:r>
          </w:p>
        </w:tc>
        <w:tc>
          <w:tcPr>
            <w:tcW w:w="2919" w:type="dxa"/>
            <w:tcBorders>
              <w:top w:val="nil"/>
              <w:left w:val="nil"/>
              <w:bottom w:val="single" w:sz="4" w:space="0" w:color="C0C0C0"/>
              <w:right w:val="single" w:sz="4" w:space="0" w:color="000080"/>
            </w:tcBorders>
            <w:shd w:val="clear" w:color="auto" w:fill="auto"/>
            <w:vAlign w:val="center"/>
            <w:hideMark/>
          </w:tcPr>
          <w:p w14:paraId="7EA45055"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3862</w:t>
            </w:r>
          </w:p>
        </w:tc>
        <w:tc>
          <w:tcPr>
            <w:tcW w:w="1462" w:type="dxa"/>
            <w:tcBorders>
              <w:top w:val="nil"/>
              <w:left w:val="nil"/>
              <w:bottom w:val="single" w:sz="4" w:space="0" w:color="C0C0C0"/>
              <w:right w:val="single" w:sz="4" w:space="0" w:color="000080"/>
            </w:tcBorders>
            <w:shd w:val="clear" w:color="auto" w:fill="auto"/>
            <w:noWrap/>
            <w:vAlign w:val="center"/>
            <w:hideMark/>
          </w:tcPr>
          <w:p w14:paraId="00AAC19F"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6.679.608,26</w:t>
            </w:r>
          </w:p>
        </w:tc>
        <w:tc>
          <w:tcPr>
            <w:tcW w:w="1462" w:type="dxa"/>
            <w:tcBorders>
              <w:top w:val="nil"/>
              <w:left w:val="nil"/>
              <w:bottom w:val="single" w:sz="4" w:space="0" w:color="C0C0C0"/>
              <w:right w:val="single" w:sz="4" w:space="0" w:color="000080"/>
            </w:tcBorders>
            <w:shd w:val="clear" w:color="auto" w:fill="auto"/>
            <w:noWrap/>
            <w:vAlign w:val="center"/>
            <w:hideMark/>
          </w:tcPr>
          <w:p w14:paraId="31D2A43D"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4.309.871,40</w:t>
            </w:r>
          </w:p>
        </w:tc>
        <w:tc>
          <w:tcPr>
            <w:tcW w:w="1574" w:type="dxa"/>
            <w:tcBorders>
              <w:top w:val="nil"/>
              <w:left w:val="nil"/>
              <w:bottom w:val="single" w:sz="4" w:space="0" w:color="C0C0C0"/>
              <w:right w:val="single" w:sz="4" w:space="0" w:color="000000"/>
            </w:tcBorders>
            <w:shd w:val="clear" w:color="auto" w:fill="auto"/>
            <w:noWrap/>
            <w:vAlign w:val="center"/>
            <w:hideMark/>
          </w:tcPr>
          <w:p w14:paraId="78F389D4"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64,5</w:t>
            </w:r>
          </w:p>
        </w:tc>
      </w:tr>
      <w:tr w:rsidR="00A920E6" w:rsidRPr="00A920E6" w14:paraId="55E9279F"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2971DC36"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3864</w:t>
            </w:r>
          </w:p>
        </w:tc>
        <w:tc>
          <w:tcPr>
            <w:tcW w:w="5157" w:type="dxa"/>
            <w:tcBorders>
              <w:top w:val="nil"/>
              <w:left w:val="nil"/>
              <w:bottom w:val="single" w:sz="4" w:space="0" w:color="C0C0C0"/>
              <w:right w:val="single" w:sz="4" w:space="0" w:color="000080"/>
            </w:tcBorders>
            <w:shd w:val="clear" w:color="auto" w:fill="auto"/>
            <w:vAlign w:val="center"/>
            <w:hideMark/>
          </w:tcPr>
          <w:p w14:paraId="1019BAD8" w14:textId="77777777" w:rsidR="00A920E6" w:rsidRPr="00A920E6" w:rsidRDefault="00A920E6" w:rsidP="00A920E6">
            <w:pPr>
              <w:rPr>
                <w:rFonts w:ascii="Arial" w:hAnsi="Arial" w:cs="Arial"/>
                <w:sz w:val="18"/>
                <w:szCs w:val="18"/>
              </w:rPr>
            </w:pPr>
            <w:r w:rsidRPr="00A920E6">
              <w:rPr>
                <w:rFonts w:ascii="Arial" w:hAnsi="Arial" w:cs="Arial"/>
                <w:sz w:val="18"/>
                <w:szCs w:val="18"/>
              </w:rPr>
              <w:t xml:space="preserve">Kapitalne pomoći iz EU sredstava </w:t>
            </w:r>
          </w:p>
        </w:tc>
        <w:tc>
          <w:tcPr>
            <w:tcW w:w="2919" w:type="dxa"/>
            <w:tcBorders>
              <w:top w:val="nil"/>
              <w:left w:val="nil"/>
              <w:bottom w:val="single" w:sz="4" w:space="0" w:color="C0C0C0"/>
              <w:right w:val="single" w:sz="4" w:space="0" w:color="000080"/>
            </w:tcBorders>
            <w:shd w:val="clear" w:color="auto" w:fill="auto"/>
            <w:vAlign w:val="center"/>
            <w:hideMark/>
          </w:tcPr>
          <w:p w14:paraId="46219EED"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3864</w:t>
            </w:r>
          </w:p>
        </w:tc>
        <w:tc>
          <w:tcPr>
            <w:tcW w:w="1462" w:type="dxa"/>
            <w:tcBorders>
              <w:top w:val="nil"/>
              <w:left w:val="nil"/>
              <w:bottom w:val="single" w:sz="4" w:space="0" w:color="C0C0C0"/>
              <w:right w:val="single" w:sz="4" w:space="0" w:color="000080"/>
            </w:tcBorders>
            <w:shd w:val="clear" w:color="auto" w:fill="auto"/>
            <w:noWrap/>
            <w:vAlign w:val="center"/>
            <w:hideMark/>
          </w:tcPr>
          <w:p w14:paraId="12DAB541"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47.318.088,27</w:t>
            </w:r>
          </w:p>
        </w:tc>
        <w:tc>
          <w:tcPr>
            <w:tcW w:w="1462" w:type="dxa"/>
            <w:tcBorders>
              <w:top w:val="nil"/>
              <w:left w:val="nil"/>
              <w:bottom w:val="single" w:sz="4" w:space="0" w:color="C0C0C0"/>
              <w:right w:val="single" w:sz="4" w:space="0" w:color="000080"/>
            </w:tcBorders>
            <w:shd w:val="clear" w:color="auto" w:fill="auto"/>
            <w:noWrap/>
            <w:vAlign w:val="center"/>
            <w:hideMark/>
          </w:tcPr>
          <w:p w14:paraId="6B683934"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41.094.199,88</w:t>
            </w:r>
          </w:p>
        </w:tc>
        <w:tc>
          <w:tcPr>
            <w:tcW w:w="1574" w:type="dxa"/>
            <w:tcBorders>
              <w:top w:val="nil"/>
              <w:left w:val="nil"/>
              <w:bottom w:val="single" w:sz="4" w:space="0" w:color="C0C0C0"/>
              <w:right w:val="single" w:sz="4" w:space="0" w:color="000000"/>
            </w:tcBorders>
            <w:shd w:val="clear" w:color="auto" w:fill="auto"/>
            <w:noWrap/>
            <w:vAlign w:val="center"/>
            <w:hideMark/>
          </w:tcPr>
          <w:p w14:paraId="186781BE"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86,8</w:t>
            </w:r>
          </w:p>
        </w:tc>
      </w:tr>
      <w:tr w:rsidR="00A920E6" w:rsidRPr="00A920E6" w14:paraId="753AD75C"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6CA1D12E"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3865</w:t>
            </w:r>
          </w:p>
        </w:tc>
        <w:tc>
          <w:tcPr>
            <w:tcW w:w="5157" w:type="dxa"/>
            <w:tcBorders>
              <w:top w:val="nil"/>
              <w:left w:val="nil"/>
              <w:bottom w:val="single" w:sz="4" w:space="0" w:color="C0C0C0"/>
              <w:right w:val="single" w:sz="4" w:space="0" w:color="000080"/>
            </w:tcBorders>
            <w:shd w:val="clear" w:color="auto" w:fill="auto"/>
            <w:vAlign w:val="center"/>
            <w:hideMark/>
          </w:tcPr>
          <w:p w14:paraId="16E2CA6C" w14:textId="77777777" w:rsidR="00A920E6" w:rsidRPr="00A920E6" w:rsidRDefault="00A920E6" w:rsidP="00A920E6">
            <w:pPr>
              <w:rPr>
                <w:rFonts w:ascii="Arial" w:hAnsi="Arial" w:cs="Arial"/>
                <w:sz w:val="18"/>
                <w:szCs w:val="18"/>
              </w:rPr>
            </w:pPr>
            <w:r w:rsidRPr="00A920E6">
              <w:rPr>
                <w:rFonts w:ascii="Arial" w:hAnsi="Arial" w:cs="Arial"/>
                <w:sz w:val="18"/>
                <w:szCs w:val="18"/>
              </w:rPr>
              <w:t>Kapitalne pomoći trgovačkim društvima i obrtnicima po protestiranim jamstvima u tuzemstvu i inozemstvu</w:t>
            </w:r>
          </w:p>
        </w:tc>
        <w:tc>
          <w:tcPr>
            <w:tcW w:w="2919" w:type="dxa"/>
            <w:tcBorders>
              <w:top w:val="nil"/>
              <w:left w:val="nil"/>
              <w:bottom w:val="single" w:sz="4" w:space="0" w:color="C0C0C0"/>
              <w:right w:val="single" w:sz="4" w:space="0" w:color="000080"/>
            </w:tcBorders>
            <w:shd w:val="clear" w:color="auto" w:fill="auto"/>
            <w:vAlign w:val="center"/>
            <w:hideMark/>
          </w:tcPr>
          <w:p w14:paraId="157C5CB1"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3865</w:t>
            </w:r>
          </w:p>
        </w:tc>
        <w:tc>
          <w:tcPr>
            <w:tcW w:w="1462" w:type="dxa"/>
            <w:tcBorders>
              <w:top w:val="nil"/>
              <w:left w:val="nil"/>
              <w:bottom w:val="single" w:sz="4" w:space="0" w:color="C0C0C0"/>
              <w:right w:val="single" w:sz="4" w:space="0" w:color="000080"/>
            </w:tcBorders>
            <w:shd w:val="clear" w:color="auto" w:fill="auto"/>
            <w:noWrap/>
            <w:vAlign w:val="center"/>
            <w:hideMark/>
          </w:tcPr>
          <w:p w14:paraId="5EFCA267"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19.185,81</w:t>
            </w:r>
          </w:p>
        </w:tc>
        <w:tc>
          <w:tcPr>
            <w:tcW w:w="1462" w:type="dxa"/>
            <w:tcBorders>
              <w:top w:val="nil"/>
              <w:left w:val="nil"/>
              <w:bottom w:val="single" w:sz="4" w:space="0" w:color="C0C0C0"/>
              <w:right w:val="single" w:sz="4" w:space="0" w:color="000080"/>
            </w:tcBorders>
            <w:shd w:val="clear" w:color="auto" w:fill="auto"/>
            <w:noWrap/>
            <w:vAlign w:val="center"/>
            <w:hideMark/>
          </w:tcPr>
          <w:p w14:paraId="1CEF3AC9"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654.777,26</w:t>
            </w:r>
          </w:p>
        </w:tc>
        <w:tc>
          <w:tcPr>
            <w:tcW w:w="1574" w:type="dxa"/>
            <w:tcBorders>
              <w:top w:val="nil"/>
              <w:left w:val="nil"/>
              <w:bottom w:val="single" w:sz="4" w:space="0" w:color="C0C0C0"/>
              <w:right w:val="single" w:sz="4" w:space="0" w:color="000000"/>
            </w:tcBorders>
            <w:shd w:val="clear" w:color="auto" w:fill="auto"/>
            <w:noWrap/>
            <w:vAlign w:val="center"/>
            <w:hideMark/>
          </w:tcPr>
          <w:p w14:paraId="20AF040B"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3.412,8</w:t>
            </w:r>
          </w:p>
        </w:tc>
      </w:tr>
      <w:tr w:rsidR="00A920E6" w:rsidRPr="00A920E6" w14:paraId="062DE65E"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6D64DB8E"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 xml:space="preserve"> </w:t>
            </w:r>
          </w:p>
        </w:tc>
        <w:tc>
          <w:tcPr>
            <w:tcW w:w="5157" w:type="dxa"/>
            <w:tcBorders>
              <w:top w:val="nil"/>
              <w:left w:val="nil"/>
              <w:bottom w:val="single" w:sz="4" w:space="0" w:color="C0C0C0"/>
              <w:right w:val="single" w:sz="4" w:space="0" w:color="000080"/>
            </w:tcBorders>
            <w:shd w:val="clear" w:color="auto" w:fill="auto"/>
            <w:vAlign w:val="center"/>
            <w:hideMark/>
          </w:tcPr>
          <w:p w14:paraId="5147CF98"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Stanje zaliha proizvodnje i gotovih proizvoda na početku razdoblja</w:t>
            </w:r>
          </w:p>
        </w:tc>
        <w:tc>
          <w:tcPr>
            <w:tcW w:w="2919" w:type="dxa"/>
            <w:tcBorders>
              <w:top w:val="nil"/>
              <w:left w:val="nil"/>
              <w:bottom w:val="single" w:sz="4" w:space="0" w:color="C0C0C0"/>
              <w:right w:val="single" w:sz="4" w:space="0" w:color="000080"/>
            </w:tcBorders>
            <w:shd w:val="clear" w:color="auto" w:fill="auto"/>
            <w:vAlign w:val="center"/>
            <w:hideMark/>
          </w:tcPr>
          <w:p w14:paraId="4AF3E18B"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Z001</w:t>
            </w:r>
          </w:p>
        </w:tc>
        <w:tc>
          <w:tcPr>
            <w:tcW w:w="1462" w:type="dxa"/>
            <w:tcBorders>
              <w:top w:val="nil"/>
              <w:left w:val="nil"/>
              <w:bottom w:val="single" w:sz="4" w:space="0" w:color="C0C0C0"/>
              <w:right w:val="single" w:sz="4" w:space="0" w:color="000080"/>
            </w:tcBorders>
            <w:shd w:val="clear" w:color="auto" w:fill="auto"/>
            <w:noWrap/>
            <w:vAlign w:val="center"/>
            <w:hideMark/>
          </w:tcPr>
          <w:p w14:paraId="09207DD9"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3E8893F9"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 </w:t>
            </w:r>
          </w:p>
        </w:tc>
        <w:tc>
          <w:tcPr>
            <w:tcW w:w="1574" w:type="dxa"/>
            <w:tcBorders>
              <w:top w:val="nil"/>
              <w:left w:val="nil"/>
              <w:bottom w:val="single" w:sz="4" w:space="0" w:color="C0C0C0"/>
              <w:right w:val="single" w:sz="4" w:space="0" w:color="000000"/>
            </w:tcBorders>
            <w:shd w:val="clear" w:color="auto" w:fill="auto"/>
            <w:noWrap/>
            <w:vAlign w:val="center"/>
            <w:hideMark/>
          </w:tcPr>
          <w:p w14:paraId="18A17C65"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56B61D63"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29EB560D"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 xml:space="preserve"> </w:t>
            </w:r>
          </w:p>
        </w:tc>
        <w:tc>
          <w:tcPr>
            <w:tcW w:w="5157" w:type="dxa"/>
            <w:tcBorders>
              <w:top w:val="nil"/>
              <w:left w:val="nil"/>
              <w:bottom w:val="single" w:sz="4" w:space="0" w:color="C0C0C0"/>
              <w:right w:val="single" w:sz="4" w:space="0" w:color="000080"/>
            </w:tcBorders>
            <w:shd w:val="clear" w:color="auto" w:fill="auto"/>
            <w:vAlign w:val="center"/>
            <w:hideMark/>
          </w:tcPr>
          <w:p w14:paraId="44510983"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 xml:space="preserve">Stanje zaliha proizvodnje i gotovih proizvoda na kraju razdoblja </w:t>
            </w:r>
          </w:p>
        </w:tc>
        <w:tc>
          <w:tcPr>
            <w:tcW w:w="2919" w:type="dxa"/>
            <w:tcBorders>
              <w:top w:val="nil"/>
              <w:left w:val="nil"/>
              <w:bottom w:val="single" w:sz="4" w:space="0" w:color="C0C0C0"/>
              <w:right w:val="single" w:sz="4" w:space="0" w:color="000080"/>
            </w:tcBorders>
            <w:shd w:val="clear" w:color="auto" w:fill="auto"/>
            <w:vAlign w:val="center"/>
            <w:hideMark/>
          </w:tcPr>
          <w:p w14:paraId="73E6C9CB"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Z002</w:t>
            </w:r>
          </w:p>
        </w:tc>
        <w:tc>
          <w:tcPr>
            <w:tcW w:w="1462" w:type="dxa"/>
            <w:tcBorders>
              <w:top w:val="nil"/>
              <w:left w:val="nil"/>
              <w:bottom w:val="single" w:sz="4" w:space="0" w:color="C0C0C0"/>
              <w:right w:val="single" w:sz="4" w:space="0" w:color="000080"/>
            </w:tcBorders>
            <w:shd w:val="clear" w:color="auto" w:fill="auto"/>
            <w:noWrap/>
            <w:vAlign w:val="center"/>
            <w:hideMark/>
          </w:tcPr>
          <w:p w14:paraId="77D85D77"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42868DA6"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 </w:t>
            </w:r>
          </w:p>
        </w:tc>
        <w:tc>
          <w:tcPr>
            <w:tcW w:w="1574" w:type="dxa"/>
            <w:tcBorders>
              <w:top w:val="nil"/>
              <w:left w:val="nil"/>
              <w:bottom w:val="single" w:sz="4" w:space="0" w:color="C0C0C0"/>
              <w:right w:val="single" w:sz="4" w:space="0" w:color="000000"/>
            </w:tcBorders>
            <w:shd w:val="clear" w:color="auto" w:fill="auto"/>
            <w:noWrap/>
            <w:vAlign w:val="center"/>
            <w:hideMark/>
          </w:tcPr>
          <w:p w14:paraId="3EF4F70A"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28FA942F"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2392483E"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 xml:space="preserve"> </w:t>
            </w:r>
          </w:p>
        </w:tc>
        <w:tc>
          <w:tcPr>
            <w:tcW w:w="5157" w:type="dxa"/>
            <w:tcBorders>
              <w:top w:val="nil"/>
              <w:left w:val="nil"/>
              <w:bottom w:val="single" w:sz="4" w:space="0" w:color="C0C0C0"/>
              <w:right w:val="single" w:sz="4" w:space="0" w:color="000080"/>
            </w:tcBorders>
            <w:shd w:val="clear" w:color="auto" w:fill="auto"/>
            <w:vAlign w:val="center"/>
            <w:hideMark/>
          </w:tcPr>
          <w:p w14:paraId="3DEA2DDE"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Povećanje zaliha proizvodnje i gotovih proizvoda (šifre Z002-Z001)</w:t>
            </w:r>
          </w:p>
        </w:tc>
        <w:tc>
          <w:tcPr>
            <w:tcW w:w="2919" w:type="dxa"/>
            <w:tcBorders>
              <w:top w:val="nil"/>
              <w:left w:val="nil"/>
              <w:bottom w:val="single" w:sz="4" w:space="0" w:color="C0C0C0"/>
              <w:right w:val="single" w:sz="4" w:space="0" w:color="000080"/>
            </w:tcBorders>
            <w:shd w:val="clear" w:color="auto" w:fill="auto"/>
            <w:vAlign w:val="center"/>
            <w:hideMark/>
          </w:tcPr>
          <w:p w14:paraId="5BEE7217"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Z003</w:t>
            </w:r>
          </w:p>
        </w:tc>
        <w:tc>
          <w:tcPr>
            <w:tcW w:w="1462" w:type="dxa"/>
            <w:tcBorders>
              <w:top w:val="nil"/>
              <w:left w:val="nil"/>
              <w:bottom w:val="single" w:sz="4" w:space="0" w:color="C0C0C0"/>
              <w:right w:val="single" w:sz="4" w:space="0" w:color="000080"/>
            </w:tcBorders>
            <w:shd w:val="clear" w:color="auto" w:fill="auto"/>
            <w:noWrap/>
            <w:vAlign w:val="center"/>
            <w:hideMark/>
          </w:tcPr>
          <w:p w14:paraId="659BD164"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25BCDEE4"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59BFAA71"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58F1B093"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30138E77"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 xml:space="preserve"> </w:t>
            </w:r>
          </w:p>
        </w:tc>
        <w:tc>
          <w:tcPr>
            <w:tcW w:w="5157" w:type="dxa"/>
            <w:tcBorders>
              <w:top w:val="nil"/>
              <w:left w:val="nil"/>
              <w:bottom w:val="single" w:sz="4" w:space="0" w:color="C0C0C0"/>
              <w:right w:val="single" w:sz="4" w:space="0" w:color="000080"/>
            </w:tcBorders>
            <w:shd w:val="clear" w:color="auto" w:fill="auto"/>
            <w:vAlign w:val="center"/>
            <w:hideMark/>
          </w:tcPr>
          <w:p w14:paraId="794D3854"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 xml:space="preserve">Smanjenje zaliha proizvodnje i gotovih proizvoda (šifre Z001-Z002) </w:t>
            </w:r>
          </w:p>
        </w:tc>
        <w:tc>
          <w:tcPr>
            <w:tcW w:w="2919" w:type="dxa"/>
            <w:tcBorders>
              <w:top w:val="nil"/>
              <w:left w:val="nil"/>
              <w:bottom w:val="single" w:sz="4" w:space="0" w:color="C0C0C0"/>
              <w:right w:val="single" w:sz="4" w:space="0" w:color="000080"/>
            </w:tcBorders>
            <w:shd w:val="clear" w:color="auto" w:fill="auto"/>
            <w:vAlign w:val="center"/>
            <w:hideMark/>
          </w:tcPr>
          <w:p w14:paraId="2276EB33"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Z004</w:t>
            </w:r>
          </w:p>
        </w:tc>
        <w:tc>
          <w:tcPr>
            <w:tcW w:w="1462" w:type="dxa"/>
            <w:tcBorders>
              <w:top w:val="nil"/>
              <w:left w:val="nil"/>
              <w:bottom w:val="single" w:sz="4" w:space="0" w:color="C0C0C0"/>
              <w:right w:val="single" w:sz="4" w:space="0" w:color="000080"/>
            </w:tcBorders>
            <w:shd w:val="clear" w:color="auto" w:fill="auto"/>
            <w:noWrap/>
            <w:vAlign w:val="center"/>
            <w:hideMark/>
          </w:tcPr>
          <w:p w14:paraId="4729C098"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27CE627C"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33A4EBAA"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1EB9CE09"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4B0FCCBF"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 xml:space="preserve"> </w:t>
            </w:r>
          </w:p>
        </w:tc>
        <w:tc>
          <w:tcPr>
            <w:tcW w:w="5157" w:type="dxa"/>
            <w:tcBorders>
              <w:top w:val="nil"/>
              <w:left w:val="nil"/>
              <w:bottom w:val="single" w:sz="4" w:space="0" w:color="C0C0C0"/>
              <w:right w:val="single" w:sz="4" w:space="0" w:color="000080"/>
            </w:tcBorders>
            <w:shd w:val="clear" w:color="auto" w:fill="auto"/>
            <w:vAlign w:val="center"/>
            <w:hideMark/>
          </w:tcPr>
          <w:p w14:paraId="382E90F5"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Ukupni rashodi poslovanja (šifre 3-Z003+Z004)</w:t>
            </w:r>
          </w:p>
        </w:tc>
        <w:tc>
          <w:tcPr>
            <w:tcW w:w="2919" w:type="dxa"/>
            <w:tcBorders>
              <w:top w:val="nil"/>
              <w:left w:val="nil"/>
              <w:bottom w:val="single" w:sz="4" w:space="0" w:color="C0C0C0"/>
              <w:right w:val="single" w:sz="4" w:space="0" w:color="000080"/>
            </w:tcBorders>
            <w:shd w:val="clear" w:color="auto" w:fill="auto"/>
            <w:vAlign w:val="center"/>
            <w:hideMark/>
          </w:tcPr>
          <w:p w14:paraId="6D7BCB1C"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Z005</w:t>
            </w:r>
          </w:p>
        </w:tc>
        <w:tc>
          <w:tcPr>
            <w:tcW w:w="1462" w:type="dxa"/>
            <w:tcBorders>
              <w:top w:val="nil"/>
              <w:left w:val="nil"/>
              <w:bottom w:val="single" w:sz="4" w:space="0" w:color="C0C0C0"/>
              <w:right w:val="single" w:sz="4" w:space="0" w:color="000080"/>
            </w:tcBorders>
            <w:shd w:val="clear" w:color="auto" w:fill="auto"/>
            <w:noWrap/>
            <w:vAlign w:val="center"/>
            <w:hideMark/>
          </w:tcPr>
          <w:p w14:paraId="412BF5A5"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1.216.804.356,83</w:t>
            </w:r>
          </w:p>
        </w:tc>
        <w:tc>
          <w:tcPr>
            <w:tcW w:w="1462" w:type="dxa"/>
            <w:tcBorders>
              <w:top w:val="nil"/>
              <w:left w:val="nil"/>
              <w:bottom w:val="single" w:sz="4" w:space="0" w:color="C0C0C0"/>
              <w:right w:val="single" w:sz="4" w:space="0" w:color="000080"/>
            </w:tcBorders>
            <w:shd w:val="clear" w:color="auto" w:fill="auto"/>
            <w:noWrap/>
            <w:vAlign w:val="center"/>
            <w:hideMark/>
          </w:tcPr>
          <w:p w14:paraId="4E7B9A2D"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1.368.720.409,57</w:t>
            </w:r>
          </w:p>
        </w:tc>
        <w:tc>
          <w:tcPr>
            <w:tcW w:w="1574" w:type="dxa"/>
            <w:tcBorders>
              <w:top w:val="nil"/>
              <w:left w:val="nil"/>
              <w:bottom w:val="single" w:sz="4" w:space="0" w:color="C0C0C0"/>
              <w:right w:val="single" w:sz="4" w:space="0" w:color="000000"/>
            </w:tcBorders>
            <w:shd w:val="clear" w:color="auto" w:fill="auto"/>
            <w:noWrap/>
            <w:vAlign w:val="center"/>
            <w:hideMark/>
          </w:tcPr>
          <w:p w14:paraId="76D68503"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112,5</w:t>
            </w:r>
          </w:p>
        </w:tc>
      </w:tr>
      <w:tr w:rsidR="00A920E6" w:rsidRPr="00A920E6" w14:paraId="50D7D0A6"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5921F22E"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 xml:space="preserve"> </w:t>
            </w:r>
          </w:p>
        </w:tc>
        <w:tc>
          <w:tcPr>
            <w:tcW w:w="5157" w:type="dxa"/>
            <w:tcBorders>
              <w:top w:val="nil"/>
              <w:left w:val="nil"/>
              <w:bottom w:val="single" w:sz="4" w:space="0" w:color="C0C0C0"/>
              <w:right w:val="single" w:sz="4" w:space="0" w:color="000080"/>
            </w:tcBorders>
            <w:shd w:val="clear" w:color="auto" w:fill="auto"/>
            <w:vAlign w:val="center"/>
            <w:hideMark/>
          </w:tcPr>
          <w:p w14:paraId="0654B06C"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 xml:space="preserve">VIŠAK PRIHODA POSLOVANJA (šifre 6-Z005) </w:t>
            </w:r>
          </w:p>
        </w:tc>
        <w:tc>
          <w:tcPr>
            <w:tcW w:w="2919" w:type="dxa"/>
            <w:tcBorders>
              <w:top w:val="nil"/>
              <w:left w:val="nil"/>
              <w:bottom w:val="single" w:sz="4" w:space="0" w:color="C0C0C0"/>
              <w:right w:val="single" w:sz="4" w:space="0" w:color="000080"/>
            </w:tcBorders>
            <w:shd w:val="clear" w:color="auto" w:fill="auto"/>
            <w:vAlign w:val="center"/>
            <w:hideMark/>
          </w:tcPr>
          <w:p w14:paraId="7A00CD50"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X001</w:t>
            </w:r>
          </w:p>
        </w:tc>
        <w:tc>
          <w:tcPr>
            <w:tcW w:w="1462" w:type="dxa"/>
            <w:tcBorders>
              <w:top w:val="nil"/>
              <w:left w:val="nil"/>
              <w:bottom w:val="single" w:sz="4" w:space="0" w:color="C0C0C0"/>
              <w:right w:val="single" w:sz="4" w:space="0" w:color="000080"/>
            </w:tcBorders>
            <w:shd w:val="clear" w:color="auto" w:fill="auto"/>
            <w:noWrap/>
            <w:vAlign w:val="center"/>
            <w:hideMark/>
          </w:tcPr>
          <w:p w14:paraId="0BD16B1B"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7C0693CB"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2360BA4D"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5EA7ABDB"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026C3E62"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 xml:space="preserve"> </w:t>
            </w:r>
          </w:p>
        </w:tc>
        <w:tc>
          <w:tcPr>
            <w:tcW w:w="5157" w:type="dxa"/>
            <w:tcBorders>
              <w:top w:val="nil"/>
              <w:left w:val="nil"/>
              <w:bottom w:val="single" w:sz="4" w:space="0" w:color="C0C0C0"/>
              <w:right w:val="single" w:sz="4" w:space="0" w:color="000080"/>
            </w:tcBorders>
            <w:shd w:val="clear" w:color="auto" w:fill="auto"/>
            <w:vAlign w:val="center"/>
            <w:hideMark/>
          </w:tcPr>
          <w:p w14:paraId="0DA1F36C"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MANJAK PRIHODA POSLOVANJA (šifre Z005-6)</w:t>
            </w:r>
          </w:p>
        </w:tc>
        <w:tc>
          <w:tcPr>
            <w:tcW w:w="2919" w:type="dxa"/>
            <w:tcBorders>
              <w:top w:val="nil"/>
              <w:left w:val="nil"/>
              <w:bottom w:val="single" w:sz="4" w:space="0" w:color="C0C0C0"/>
              <w:right w:val="single" w:sz="4" w:space="0" w:color="000080"/>
            </w:tcBorders>
            <w:shd w:val="clear" w:color="auto" w:fill="auto"/>
            <w:vAlign w:val="center"/>
            <w:hideMark/>
          </w:tcPr>
          <w:p w14:paraId="19042418"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Y001</w:t>
            </w:r>
          </w:p>
        </w:tc>
        <w:tc>
          <w:tcPr>
            <w:tcW w:w="1462" w:type="dxa"/>
            <w:tcBorders>
              <w:top w:val="nil"/>
              <w:left w:val="nil"/>
              <w:bottom w:val="single" w:sz="4" w:space="0" w:color="C0C0C0"/>
              <w:right w:val="single" w:sz="4" w:space="0" w:color="000080"/>
            </w:tcBorders>
            <w:shd w:val="clear" w:color="auto" w:fill="auto"/>
            <w:noWrap/>
            <w:vAlign w:val="center"/>
            <w:hideMark/>
          </w:tcPr>
          <w:p w14:paraId="4EE97D7E"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89.377.067,95</w:t>
            </w:r>
          </w:p>
        </w:tc>
        <w:tc>
          <w:tcPr>
            <w:tcW w:w="1462" w:type="dxa"/>
            <w:tcBorders>
              <w:top w:val="nil"/>
              <w:left w:val="nil"/>
              <w:bottom w:val="single" w:sz="4" w:space="0" w:color="C0C0C0"/>
              <w:right w:val="single" w:sz="4" w:space="0" w:color="000080"/>
            </w:tcBorders>
            <w:shd w:val="clear" w:color="auto" w:fill="auto"/>
            <w:noWrap/>
            <w:vAlign w:val="center"/>
            <w:hideMark/>
          </w:tcPr>
          <w:p w14:paraId="6E801D44"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92.509.433,52</w:t>
            </w:r>
          </w:p>
        </w:tc>
        <w:tc>
          <w:tcPr>
            <w:tcW w:w="1574" w:type="dxa"/>
            <w:tcBorders>
              <w:top w:val="nil"/>
              <w:left w:val="nil"/>
              <w:bottom w:val="single" w:sz="4" w:space="0" w:color="C0C0C0"/>
              <w:right w:val="single" w:sz="4" w:space="0" w:color="000000"/>
            </w:tcBorders>
            <w:shd w:val="clear" w:color="auto" w:fill="auto"/>
            <w:noWrap/>
            <w:vAlign w:val="center"/>
            <w:hideMark/>
          </w:tcPr>
          <w:p w14:paraId="43EFB962"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103,5</w:t>
            </w:r>
          </w:p>
        </w:tc>
      </w:tr>
      <w:tr w:rsidR="00A920E6" w:rsidRPr="00A920E6" w14:paraId="7BC826BE"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6178E6CB"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92211</w:t>
            </w:r>
          </w:p>
        </w:tc>
        <w:tc>
          <w:tcPr>
            <w:tcW w:w="5157" w:type="dxa"/>
            <w:tcBorders>
              <w:top w:val="nil"/>
              <w:left w:val="nil"/>
              <w:bottom w:val="single" w:sz="4" w:space="0" w:color="C0C0C0"/>
              <w:right w:val="single" w:sz="4" w:space="0" w:color="000080"/>
            </w:tcBorders>
            <w:shd w:val="clear" w:color="auto" w:fill="auto"/>
            <w:vAlign w:val="center"/>
            <w:hideMark/>
          </w:tcPr>
          <w:p w14:paraId="763AEBB6" w14:textId="607F5046"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 xml:space="preserve">Višak prihoda poslovanja </w:t>
            </w:r>
            <w:r w:rsidR="00086FB4">
              <w:rPr>
                <w:rFonts w:ascii="Arial" w:hAnsi="Arial" w:cs="Arial"/>
                <w:color w:val="000000"/>
                <w:sz w:val="18"/>
                <w:szCs w:val="18"/>
              </w:rPr>
              <w:t>–</w:t>
            </w:r>
            <w:r w:rsidRPr="00A920E6">
              <w:rPr>
                <w:rFonts w:ascii="Arial" w:hAnsi="Arial" w:cs="Arial"/>
                <w:color w:val="000000"/>
                <w:sz w:val="18"/>
                <w:szCs w:val="18"/>
              </w:rPr>
              <w:t xml:space="preserve"> preneseni</w:t>
            </w:r>
          </w:p>
        </w:tc>
        <w:tc>
          <w:tcPr>
            <w:tcW w:w="2919" w:type="dxa"/>
            <w:tcBorders>
              <w:top w:val="nil"/>
              <w:left w:val="nil"/>
              <w:bottom w:val="single" w:sz="4" w:space="0" w:color="C0C0C0"/>
              <w:right w:val="single" w:sz="4" w:space="0" w:color="000080"/>
            </w:tcBorders>
            <w:shd w:val="clear" w:color="auto" w:fill="auto"/>
            <w:vAlign w:val="center"/>
            <w:hideMark/>
          </w:tcPr>
          <w:p w14:paraId="4D718985"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92211</w:t>
            </w:r>
          </w:p>
        </w:tc>
        <w:tc>
          <w:tcPr>
            <w:tcW w:w="1462" w:type="dxa"/>
            <w:tcBorders>
              <w:top w:val="nil"/>
              <w:left w:val="nil"/>
              <w:bottom w:val="single" w:sz="4" w:space="0" w:color="C0C0C0"/>
              <w:right w:val="single" w:sz="4" w:space="0" w:color="000080"/>
            </w:tcBorders>
            <w:shd w:val="clear" w:color="auto" w:fill="auto"/>
            <w:noWrap/>
            <w:vAlign w:val="center"/>
            <w:hideMark/>
          </w:tcPr>
          <w:p w14:paraId="17B59C72"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10.131.906,82</w:t>
            </w:r>
          </w:p>
        </w:tc>
        <w:tc>
          <w:tcPr>
            <w:tcW w:w="1462" w:type="dxa"/>
            <w:tcBorders>
              <w:top w:val="nil"/>
              <w:left w:val="nil"/>
              <w:bottom w:val="single" w:sz="4" w:space="0" w:color="C0C0C0"/>
              <w:right w:val="single" w:sz="4" w:space="0" w:color="000080"/>
            </w:tcBorders>
            <w:shd w:val="clear" w:color="auto" w:fill="auto"/>
            <w:noWrap/>
            <w:vAlign w:val="center"/>
            <w:hideMark/>
          </w:tcPr>
          <w:p w14:paraId="2D3F6ED2"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5.840.671,14</w:t>
            </w:r>
          </w:p>
        </w:tc>
        <w:tc>
          <w:tcPr>
            <w:tcW w:w="1574" w:type="dxa"/>
            <w:tcBorders>
              <w:top w:val="nil"/>
              <w:left w:val="nil"/>
              <w:bottom w:val="single" w:sz="4" w:space="0" w:color="C0C0C0"/>
              <w:right w:val="single" w:sz="4" w:space="0" w:color="000000"/>
            </w:tcBorders>
            <w:shd w:val="clear" w:color="auto" w:fill="auto"/>
            <w:noWrap/>
            <w:vAlign w:val="center"/>
            <w:hideMark/>
          </w:tcPr>
          <w:p w14:paraId="758B4AF9"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57,6</w:t>
            </w:r>
          </w:p>
        </w:tc>
      </w:tr>
      <w:tr w:rsidR="00A920E6" w:rsidRPr="00A920E6" w14:paraId="5EC0F8CE"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488343A1"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92221</w:t>
            </w:r>
          </w:p>
        </w:tc>
        <w:tc>
          <w:tcPr>
            <w:tcW w:w="5157" w:type="dxa"/>
            <w:tcBorders>
              <w:top w:val="nil"/>
              <w:left w:val="nil"/>
              <w:bottom w:val="single" w:sz="4" w:space="0" w:color="C0C0C0"/>
              <w:right w:val="single" w:sz="4" w:space="0" w:color="000080"/>
            </w:tcBorders>
            <w:shd w:val="clear" w:color="auto" w:fill="auto"/>
            <w:vAlign w:val="center"/>
            <w:hideMark/>
          </w:tcPr>
          <w:p w14:paraId="6EC65406" w14:textId="66073630"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 xml:space="preserve">Manjak prihoda poslovanja </w:t>
            </w:r>
            <w:r w:rsidR="00086FB4">
              <w:rPr>
                <w:rFonts w:ascii="Arial" w:hAnsi="Arial" w:cs="Arial"/>
                <w:color w:val="000000"/>
                <w:sz w:val="18"/>
                <w:szCs w:val="18"/>
              </w:rPr>
              <w:t>–</w:t>
            </w:r>
            <w:r w:rsidRPr="00A920E6">
              <w:rPr>
                <w:rFonts w:ascii="Arial" w:hAnsi="Arial" w:cs="Arial"/>
                <w:color w:val="000000"/>
                <w:sz w:val="18"/>
                <w:szCs w:val="18"/>
              </w:rPr>
              <w:t xml:space="preserve"> preneseni</w:t>
            </w:r>
          </w:p>
        </w:tc>
        <w:tc>
          <w:tcPr>
            <w:tcW w:w="2919" w:type="dxa"/>
            <w:tcBorders>
              <w:top w:val="nil"/>
              <w:left w:val="nil"/>
              <w:bottom w:val="single" w:sz="4" w:space="0" w:color="C0C0C0"/>
              <w:right w:val="single" w:sz="4" w:space="0" w:color="000080"/>
            </w:tcBorders>
            <w:shd w:val="clear" w:color="auto" w:fill="auto"/>
            <w:vAlign w:val="center"/>
            <w:hideMark/>
          </w:tcPr>
          <w:p w14:paraId="49925088"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92221</w:t>
            </w:r>
          </w:p>
        </w:tc>
        <w:tc>
          <w:tcPr>
            <w:tcW w:w="1462" w:type="dxa"/>
            <w:tcBorders>
              <w:top w:val="nil"/>
              <w:left w:val="nil"/>
              <w:bottom w:val="single" w:sz="4" w:space="0" w:color="C0C0C0"/>
              <w:right w:val="single" w:sz="4" w:space="0" w:color="000080"/>
            </w:tcBorders>
            <w:shd w:val="clear" w:color="auto" w:fill="auto"/>
            <w:noWrap/>
            <w:vAlign w:val="center"/>
            <w:hideMark/>
          </w:tcPr>
          <w:p w14:paraId="0D28500B"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5E937948"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5AA09D57"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04D53513"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2C15EDC0"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96</w:t>
            </w:r>
          </w:p>
        </w:tc>
        <w:tc>
          <w:tcPr>
            <w:tcW w:w="5157" w:type="dxa"/>
            <w:tcBorders>
              <w:top w:val="nil"/>
              <w:left w:val="nil"/>
              <w:bottom w:val="single" w:sz="4" w:space="0" w:color="C0C0C0"/>
              <w:right w:val="single" w:sz="4" w:space="0" w:color="000080"/>
            </w:tcBorders>
            <w:shd w:val="clear" w:color="auto" w:fill="auto"/>
            <w:vAlign w:val="center"/>
            <w:hideMark/>
          </w:tcPr>
          <w:p w14:paraId="604E9C57"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Obračunati prihodi poslovanja - nenaplaćeni</w:t>
            </w:r>
          </w:p>
        </w:tc>
        <w:tc>
          <w:tcPr>
            <w:tcW w:w="2919" w:type="dxa"/>
            <w:tcBorders>
              <w:top w:val="nil"/>
              <w:left w:val="nil"/>
              <w:bottom w:val="single" w:sz="4" w:space="0" w:color="C0C0C0"/>
              <w:right w:val="single" w:sz="4" w:space="0" w:color="000080"/>
            </w:tcBorders>
            <w:shd w:val="clear" w:color="auto" w:fill="auto"/>
            <w:vAlign w:val="center"/>
            <w:hideMark/>
          </w:tcPr>
          <w:p w14:paraId="42D09B49"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96</w:t>
            </w:r>
          </w:p>
        </w:tc>
        <w:tc>
          <w:tcPr>
            <w:tcW w:w="1462" w:type="dxa"/>
            <w:tcBorders>
              <w:top w:val="nil"/>
              <w:left w:val="nil"/>
              <w:bottom w:val="single" w:sz="4" w:space="0" w:color="C0C0C0"/>
              <w:right w:val="single" w:sz="4" w:space="0" w:color="000080"/>
            </w:tcBorders>
            <w:shd w:val="clear" w:color="auto" w:fill="auto"/>
            <w:noWrap/>
            <w:vAlign w:val="center"/>
            <w:hideMark/>
          </w:tcPr>
          <w:p w14:paraId="57E205A7"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41.923.089,19</w:t>
            </w:r>
          </w:p>
        </w:tc>
        <w:tc>
          <w:tcPr>
            <w:tcW w:w="1462" w:type="dxa"/>
            <w:tcBorders>
              <w:top w:val="nil"/>
              <w:left w:val="nil"/>
              <w:bottom w:val="single" w:sz="4" w:space="0" w:color="C0C0C0"/>
              <w:right w:val="single" w:sz="4" w:space="0" w:color="000080"/>
            </w:tcBorders>
            <w:shd w:val="clear" w:color="auto" w:fill="auto"/>
            <w:noWrap/>
            <w:vAlign w:val="center"/>
            <w:hideMark/>
          </w:tcPr>
          <w:p w14:paraId="14FFB21C"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112.863.379,55</w:t>
            </w:r>
          </w:p>
        </w:tc>
        <w:tc>
          <w:tcPr>
            <w:tcW w:w="1574" w:type="dxa"/>
            <w:tcBorders>
              <w:top w:val="nil"/>
              <w:left w:val="nil"/>
              <w:bottom w:val="single" w:sz="4" w:space="0" w:color="C0C0C0"/>
              <w:right w:val="single" w:sz="4" w:space="0" w:color="000000"/>
            </w:tcBorders>
            <w:shd w:val="clear" w:color="auto" w:fill="auto"/>
            <w:noWrap/>
            <w:vAlign w:val="center"/>
            <w:hideMark/>
          </w:tcPr>
          <w:p w14:paraId="306098DD"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269,2</w:t>
            </w:r>
          </w:p>
        </w:tc>
      </w:tr>
      <w:tr w:rsidR="00A920E6" w:rsidRPr="00A920E6" w14:paraId="79687D4C" w14:textId="77777777" w:rsidTr="00145A75">
        <w:trPr>
          <w:trHeight w:val="24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0261C4C4"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9661</w:t>
            </w:r>
          </w:p>
        </w:tc>
        <w:tc>
          <w:tcPr>
            <w:tcW w:w="5157" w:type="dxa"/>
            <w:tcBorders>
              <w:top w:val="nil"/>
              <w:left w:val="nil"/>
              <w:bottom w:val="single" w:sz="4" w:space="0" w:color="C0C0C0"/>
              <w:right w:val="single" w:sz="4" w:space="0" w:color="000080"/>
            </w:tcBorders>
            <w:shd w:val="clear" w:color="auto" w:fill="auto"/>
            <w:vAlign w:val="center"/>
            <w:hideMark/>
          </w:tcPr>
          <w:p w14:paraId="7BC642C7" w14:textId="588CFDC1"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 xml:space="preserve">Prihodi od prodaje proizvoda i robe i pruženih usluga </w:t>
            </w:r>
            <w:r w:rsidR="00086FB4">
              <w:rPr>
                <w:rFonts w:ascii="Arial" w:hAnsi="Arial" w:cs="Arial"/>
                <w:color w:val="000000"/>
                <w:sz w:val="18"/>
                <w:szCs w:val="18"/>
              </w:rPr>
              <w:t>–</w:t>
            </w:r>
            <w:r w:rsidRPr="00A920E6">
              <w:rPr>
                <w:rFonts w:ascii="Arial" w:hAnsi="Arial" w:cs="Arial"/>
                <w:color w:val="000000"/>
                <w:sz w:val="18"/>
                <w:szCs w:val="18"/>
              </w:rPr>
              <w:t xml:space="preserve"> nenaplaćen</w:t>
            </w:r>
            <w:r w:rsidRPr="00A920E6">
              <w:rPr>
                <w:rFonts w:ascii="Arial" w:hAnsi="Arial" w:cs="Arial"/>
                <w:strike/>
                <w:color w:val="000000"/>
                <w:sz w:val="18"/>
                <w:szCs w:val="18"/>
              </w:rPr>
              <w:t>i</w:t>
            </w:r>
          </w:p>
        </w:tc>
        <w:tc>
          <w:tcPr>
            <w:tcW w:w="2919" w:type="dxa"/>
            <w:tcBorders>
              <w:top w:val="nil"/>
              <w:left w:val="nil"/>
              <w:bottom w:val="single" w:sz="4" w:space="0" w:color="C0C0C0"/>
              <w:right w:val="single" w:sz="4" w:space="0" w:color="000080"/>
            </w:tcBorders>
            <w:shd w:val="clear" w:color="auto" w:fill="auto"/>
            <w:vAlign w:val="center"/>
            <w:hideMark/>
          </w:tcPr>
          <w:p w14:paraId="7FFCD99B"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9661</w:t>
            </w:r>
          </w:p>
        </w:tc>
        <w:tc>
          <w:tcPr>
            <w:tcW w:w="1462" w:type="dxa"/>
            <w:tcBorders>
              <w:top w:val="nil"/>
              <w:left w:val="nil"/>
              <w:bottom w:val="single" w:sz="4" w:space="0" w:color="C0C0C0"/>
              <w:right w:val="single" w:sz="4" w:space="0" w:color="000080"/>
            </w:tcBorders>
            <w:shd w:val="clear" w:color="auto" w:fill="auto"/>
            <w:noWrap/>
            <w:vAlign w:val="center"/>
            <w:hideMark/>
          </w:tcPr>
          <w:p w14:paraId="22351642"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85.819,10</w:t>
            </w:r>
          </w:p>
        </w:tc>
        <w:tc>
          <w:tcPr>
            <w:tcW w:w="1462" w:type="dxa"/>
            <w:tcBorders>
              <w:top w:val="nil"/>
              <w:left w:val="nil"/>
              <w:bottom w:val="single" w:sz="4" w:space="0" w:color="C0C0C0"/>
              <w:right w:val="single" w:sz="4" w:space="0" w:color="000080"/>
            </w:tcBorders>
            <w:shd w:val="clear" w:color="auto" w:fill="auto"/>
            <w:noWrap/>
            <w:vAlign w:val="center"/>
            <w:hideMark/>
          </w:tcPr>
          <w:p w14:paraId="69A39AB2"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82.982,63</w:t>
            </w:r>
          </w:p>
        </w:tc>
        <w:tc>
          <w:tcPr>
            <w:tcW w:w="1574" w:type="dxa"/>
            <w:tcBorders>
              <w:top w:val="nil"/>
              <w:left w:val="nil"/>
              <w:bottom w:val="single" w:sz="4" w:space="0" w:color="C0C0C0"/>
              <w:right w:val="single" w:sz="4" w:space="0" w:color="000000"/>
            </w:tcBorders>
            <w:shd w:val="clear" w:color="auto" w:fill="auto"/>
            <w:noWrap/>
            <w:vAlign w:val="center"/>
            <w:hideMark/>
          </w:tcPr>
          <w:p w14:paraId="44728BC2"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96,7</w:t>
            </w:r>
          </w:p>
        </w:tc>
      </w:tr>
      <w:tr w:rsidR="00A920E6" w:rsidRPr="00A920E6" w14:paraId="199D9D69" w14:textId="77777777" w:rsidTr="00145A75">
        <w:trPr>
          <w:trHeight w:val="255"/>
        </w:trPr>
        <w:tc>
          <w:tcPr>
            <w:tcW w:w="1318" w:type="dxa"/>
            <w:tcBorders>
              <w:top w:val="nil"/>
              <w:left w:val="single" w:sz="4" w:space="0" w:color="000000"/>
              <w:bottom w:val="single" w:sz="4" w:space="0" w:color="000000"/>
              <w:right w:val="single" w:sz="4" w:space="0" w:color="000080"/>
            </w:tcBorders>
            <w:shd w:val="clear" w:color="auto" w:fill="auto"/>
            <w:vAlign w:val="center"/>
            <w:hideMark/>
          </w:tcPr>
          <w:p w14:paraId="389BB50F"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9673</w:t>
            </w:r>
          </w:p>
        </w:tc>
        <w:tc>
          <w:tcPr>
            <w:tcW w:w="5157" w:type="dxa"/>
            <w:tcBorders>
              <w:top w:val="nil"/>
              <w:left w:val="nil"/>
              <w:bottom w:val="single" w:sz="4" w:space="0" w:color="000000"/>
              <w:right w:val="single" w:sz="4" w:space="0" w:color="000080"/>
            </w:tcBorders>
            <w:shd w:val="clear" w:color="auto" w:fill="auto"/>
            <w:vAlign w:val="center"/>
            <w:hideMark/>
          </w:tcPr>
          <w:p w14:paraId="487DE261"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Obračunati prihodi od HZZO-a na temelju ugovornih obveza</w:t>
            </w:r>
          </w:p>
        </w:tc>
        <w:tc>
          <w:tcPr>
            <w:tcW w:w="2919" w:type="dxa"/>
            <w:tcBorders>
              <w:top w:val="nil"/>
              <w:left w:val="nil"/>
              <w:bottom w:val="single" w:sz="4" w:space="0" w:color="000000"/>
              <w:right w:val="single" w:sz="4" w:space="0" w:color="000080"/>
            </w:tcBorders>
            <w:shd w:val="clear" w:color="auto" w:fill="auto"/>
            <w:vAlign w:val="center"/>
            <w:hideMark/>
          </w:tcPr>
          <w:p w14:paraId="20628C97"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9673</w:t>
            </w:r>
          </w:p>
        </w:tc>
        <w:tc>
          <w:tcPr>
            <w:tcW w:w="1462" w:type="dxa"/>
            <w:tcBorders>
              <w:top w:val="nil"/>
              <w:left w:val="nil"/>
              <w:bottom w:val="single" w:sz="4" w:space="0" w:color="000000"/>
              <w:right w:val="single" w:sz="4" w:space="0" w:color="000080"/>
            </w:tcBorders>
            <w:shd w:val="clear" w:color="auto" w:fill="auto"/>
            <w:noWrap/>
            <w:vAlign w:val="center"/>
            <w:hideMark/>
          </w:tcPr>
          <w:p w14:paraId="7FB83F2A"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0,00</w:t>
            </w:r>
          </w:p>
        </w:tc>
        <w:tc>
          <w:tcPr>
            <w:tcW w:w="1462" w:type="dxa"/>
            <w:tcBorders>
              <w:top w:val="nil"/>
              <w:left w:val="nil"/>
              <w:bottom w:val="single" w:sz="4" w:space="0" w:color="000000"/>
              <w:right w:val="single" w:sz="4" w:space="0" w:color="000080"/>
            </w:tcBorders>
            <w:shd w:val="clear" w:color="auto" w:fill="auto"/>
            <w:noWrap/>
            <w:vAlign w:val="center"/>
            <w:hideMark/>
          </w:tcPr>
          <w:p w14:paraId="5A5C24F1"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0,00</w:t>
            </w:r>
          </w:p>
        </w:tc>
        <w:tc>
          <w:tcPr>
            <w:tcW w:w="1574" w:type="dxa"/>
            <w:tcBorders>
              <w:top w:val="nil"/>
              <w:left w:val="nil"/>
              <w:bottom w:val="single" w:sz="4" w:space="0" w:color="000000"/>
              <w:right w:val="single" w:sz="4" w:space="0" w:color="000000"/>
            </w:tcBorders>
            <w:shd w:val="clear" w:color="auto" w:fill="auto"/>
            <w:noWrap/>
            <w:vAlign w:val="center"/>
            <w:hideMark/>
          </w:tcPr>
          <w:p w14:paraId="1C0226F7"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64278C4F" w14:textId="77777777" w:rsidTr="00145A75">
        <w:trPr>
          <w:trHeight w:val="402"/>
        </w:trPr>
        <w:tc>
          <w:tcPr>
            <w:tcW w:w="6475" w:type="dxa"/>
            <w:gridSpan w:val="2"/>
            <w:tcBorders>
              <w:top w:val="single" w:sz="4" w:space="0" w:color="000000"/>
              <w:left w:val="single" w:sz="4" w:space="0" w:color="000000"/>
              <w:bottom w:val="single" w:sz="4" w:space="0" w:color="C0C0C0"/>
              <w:right w:val="single" w:sz="4" w:space="0" w:color="000080"/>
            </w:tcBorders>
            <w:shd w:val="clear" w:color="DBE5F1" w:fill="DBE5F1"/>
            <w:vAlign w:val="center"/>
            <w:hideMark/>
          </w:tcPr>
          <w:p w14:paraId="4EAC8A27" w14:textId="77777777" w:rsidR="00A920E6" w:rsidRPr="00A920E6" w:rsidRDefault="00A920E6" w:rsidP="00A920E6">
            <w:pPr>
              <w:rPr>
                <w:rFonts w:ascii="Arial" w:hAnsi="Arial" w:cs="Arial"/>
                <w:b/>
                <w:bCs/>
                <w:color w:val="0C0C0C"/>
              </w:rPr>
            </w:pPr>
            <w:r w:rsidRPr="00A920E6">
              <w:rPr>
                <w:rFonts w:ascii="Arial" w:hAnsi="Arial" w:cs="Arial"/>
                <w:b/>
                <w:bCs/>
                <w:color w:val="0C0C0C"/>
              </w:rPr>
              <w:t>Prihodi i rashodi od nefinancijske imovine</w:t>
            </w:r>
          </w:p>
        </w:tc>
        <w:tc>
          <w:tcPr>
            <w:tcW w:w="2919" w:type="dxa"/>
            <w:tcBorders>
              <w:top w:val="nil"/>
              <w:left w:val="single" w:sz="4" w:space="0" w:color="000000"/>
              <w:bottom w:val="single" w:sz="4" w:space="0" w:color="C0C0C0"/>
              <w:right w:val="nil"/>
            </w:tcBorders>
            <w:shd w:val="clear" w:color="DBE5F1" w:fill="DBE5F1"/>
            <w:vAlign w:val="center"/>
            <w:hideMark/>
          </w:tcPr>
          <w:p w14:paraId="4C3CDF2C" w14:textId="77777777" w:rsidR="00A920E6" w:rsidRPr="00A920E6" w:rsidRDefault="00A920E6" w:rsidP="00A920E6">
            <w:pPr>
              <w:rPr>
                <w:rFonts w:ascii="Arial" w:hAnsi="Arial" w:cs="Arial"/>
                <w:b/>
                <w:bCs/>
                <w:color w:val="0C0C0C"/>
              </w:rPr>
            </w:pPr>
            <w:r w:rsidRPr="00A920E6">
              <w:rPr>
                <w:rFonts w:ascii="Arial" w:hAnsi="Arial" w:cs="Arial"/>
                <w:b/>
                <w:bCs/>
                <w:color w:val="0C0C0C"/>
              </w:rPr>
              <w:t> </w:t>
            </w:r>
          </w:p>
        </w:tc>
        <w:tc>
          <w:tcPr>
            <w:tcW w:w="1462" w:type="dxa"/>
            <w:tcBorders>
              <w:top w:val="nil"/>
              <w:left w:val="single" w:sz="4" w:space="0" w:color="000080"/>
              <w:bottom w:val="single" w:sz="4" w:space="0" w:color="C0C0C0"/>
              <w:right w:val="single" w:sz="4" w:space="0" w:color="000080"/>
            </w:tcBorders>
            <w:shd w:val="clear" w:color="DBE5F1" w:fill="DBE5F1"/>
            <w:noWrap/>
            <w:vAlign w:val="center"/>
            <w:hideMark/>
          </w:tcPr>
          <w:p w14:paraId="564A6F21" w14:textId="77777777" w:rsidR="00A920E6" w:rsidRPr="00A920E6" w:rsidRDefault="00A920E6" w:rsidP="00A920E6">
            <w:pPr>
              <w:rPr>
                <w:rFonts w:ascii="Arial" w:hAnsi="Arial" w:cs="Arial"/>
                <w:b/>
                <w:bCs/>
                <w:color w:val="0C0C0C"/>
                <w:sz w:val="16"/>
                <w:szCs w:val="16"/>
              </w:rPr>
            </w:pPr>
            <w:r w:rsidRPr="00A920E6">
              <w:rPr>
                <w:rFonts w:ascii="Arial" w:hAnsi="Arial" w:cs="Arial"/>
                <w:b/>
                <w:bCs/>
                <w:color w:val="0C0C0C"/>
                <w:sz w:val="16"/>
                <w:szCs w:val="16"/>
              </w:rPr>
              <w:t> </w:t>
            </w:r>
          </w:p>
        </w:tc>
        <w:tc>
          <w:tcPr>
            <w:tcW w:w="1462" w:type="dxa"/>
            <w:tcBorders>
              <w:top w:val="nil"/>
              <w:left w:val="nil"/>
              <w:bottom w:val="single" w:sz="4" w:space="0" w:color="C0C0C0"/>
              <w:right w:val="single" w:sz="4" w:space="0" w:color="000080"/>
            </w:tcBorders>
            <w:shd w:val="clear" w:color="DBE5F1" w:fill="DBE5F1"/>
            <w:noWrap/>
            <w:vAlign w:val="center"/>
            <w:hideMark/>
          </w:tcPr>
          <w:p w14:paraId="00961E28" w14:textId="77777777" w:rsidR="00A920E6" w:rsidRPr="00A920E6" w:rsidRDefault="00A920E6" w:rsidP="00A920E6">
            <w:pPr>
              <w:rPr>
                <w:rFonts w:ascii="Arial" w:hAnsi="Arial" w:cs="Arial"/>
                <w:b/>
                <w:bCs/>
                <w:color w:val="0C0C0C"/>
                <w:sz w:val="16"/>
                <w:szCs w:val="16"/>
              </w:rPr>
            </w:pPr>
            <w:r w:rsidRPr="00A920E6">
              <w:rPr>
                <w:rFonts w:ascii="Arial" w:hAnsi="Arial" w:cs="Arial"/>
                <w:b/>
                <w:bCs/>
                <w:color w:val="0C0C0C"/>
                <w:sz w:val="16"/>
                <w:szCs w:val="16"/>
              </w:rPr>
              <w:t> </w:t>
            </w:r>
          </w:p>
        </w:tc>
        <w:tc>
          <w:tcPr>
            <w:tcW w:w="1574" w:type="dxa"/>
            <w:tcBorders>
              <w:top w:val="nil"/>
              <w:left w:val="nil"/>
              <w:bottom w:val="single" w:sz="4" w:space="0" w:color="C0C0C0"/>
              <w:right w:val="single" w:sz="4" w:space="0" w:color="000000"/>
            </w:tcBorders>
            <w:shd w:val="clear" w:color="DBE5F1" w:fill="DBE5F1"/>
            <w:noWrap/>
            <w:vAlign w:val="center"/>
            <w:hideMark/>
          </w:tcPr>
          <w:p w14:paraId="1A0F9DDB" w14:textId="77777777" w:rsidR="00A920E6" w:rsidRPr="00A920E6" w:rsidRDefault="00A920E6" w:rsidP="00A920E6">
            <w:pPr>
              <w:rPr>
                <w:rFonts w:ascii="Arial" w:hAnsi="Arial" w:cs="Arial"/>
                <w:b/>
                <w:bCs/>
                <w:color w:val="0C0C0C"/>
                <w:sz w:val="16"/>
                <w:szCs w:val="16"/>
              </w:rPr>
            </w:pPr>
            <w:r w:rsidRPr="00A920E6">
              <w:rPr>
                <w:rFonts w:ascii="Arial" w:hAnsi="Arial" w:cs="Arial"/>
                <w:b/>
                <w:bCs/>
                <w:color w:val="0C0C0C"/>
                <w:sz w:val="16"/>
                <w:szCs w:val="16"/>
              </w:rPr>
              <w:t> </w:t>
            </w:r>
          </w:p>
        </w:tc>
      </w:tr>
      <w:tr w:rsidR="00A920E6" w:rsidRPr="00A920E6" w14:paraId="74FE3392"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5C3EAF6A"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lastRenderedPageBreak/>
              <w:t>7</w:t>
            </w:r>
          </w:p>
        </w:tc>
        <w:tc>
          <w:tcPr>
            <w:tcW w:w="5157" w:type="dxa"/>
            <w:tcBorders>
              <w:top w:val="nil"/>
              <w:left w:val="nil"/>
              <w:bottom w:val="single" w:sz="4" w:space="0" w:color="C0C0C0"/>
              <w:right w:val="single" w:sz="4" w:space="0" w:color="000080"/>
            </w:tcBorders>
            <w:shd w:val="clear" w:color="auto" w:fill="auto"/>
            <w:vAlign w:val="center"/>
            <w:hideMark/>
          </w:tcPr>
          <w:p w14:paraId="6BDC6FA3"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Prihodi od prodaje nefinancijske imovine (šifre 71+72+73+74)</w:t>
            </w:r>
          </w:p>
        </w:tc>
        <w:tc>
          <w:tcPr>
            <w:tcW w:w="2919" w:type="dxa"/>
            <w:tcBorders>
              <w:top w:val="nil"/>
              <w:left w:val="nil"/>
              <w:bottom w:val="single" w:sz="4" w:space="0" w:color="C0C0C0"/>
              <w:right w:val="single" w:sz="4" w:space="0" w:color="000080"/>
            </w:tcBorders>
            <w:shd w:val="clear" w:color="auto" w:fill="auto"/>
            <w:vAlign w:val="center"/>
            <w:hideMark/>
          </w:tcPr>
          <w:p w14:paraId="02B3C345"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7</w:t>
            </w:r>
          </w:p>
        </w:tc>
        <w:tc>
          <w:tcPr>
            <w:tcW w:w="1462" w:type="dxa"/>
            <w:tcBorders>
              <w:top w:val="nil"/>
              <w:left w:val="nil"/>
              <w:bottom w:val="single" w:sz="4" w:space="0" w:color="C0C0C0"/>
              <w:right w:val="single" w:sz="4" w:space="0" w:color="000080"/>
            </w:tcBorders>
            <w:shd w:val="clear" w:color="auto" w:fill="auto"/>
            <w:noWrap/>
            <w:vAlign w:val="center"/>
            <w:hideMark/>
          </w:tcPr>
          <w:p w14:paraId="4556D5B4"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2F51379B"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59CEFE4A"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00E1CCB5"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570D6E4F"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71</w:t>
            </w:r>
          </w:p>
        </w:tc>
        <w:tc>
          <w:tcPr>
            <w:tcW w:w="5157" w:type="dxa"/>
            <w:tcBorders>
              <w:top w:val="nil"/>
              <w:left w:val="nil"/>
              <w:bottom w:val="single" w:sz="4" w:space="0" w:color="C0C0C0"/>
              <w:right w:val="single" w:sz="4" w:space="0" w:color="000080"/>
            </w:tcBorders>
            <w:shd w:val="clear" w:color="auto" w:fill="auto"/>
            <w:vAlign w:val="center"/>
            <w:hideMark/>
          </w:tcPr>
          <w:p w14:paraId="394DB9B8"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 xml:space="preserve">Prihodi od prodaje </w:t>
            </w:r>
            <w:proofErr w:type="spellStart"/>
            <w:r w:rsidRPr="00A920E6">
              <w:rPr>
                <w:rFonts w:ascii="Arial" w:hAnsi="Arial" w:cs="Arial"/>
                <w:color w:val="000000"/>
                <w:sz w:val="18"/>
                <w:szCs w:val="18"/>
              </w:rPr>
              <w:t>neproizvedene</w:t>
            </w:r>
            <w:proofErr w:type="spellEnd"/>
            <w:r w:rsidRPr="00A920E6">
              <w:rPr>
                <w:rFonts w:ascii="Arial" w:hAnsi="Arial" w:cs="Arial"/>
                <w:color w:val="000000"/>
                <w:sz w:val="18"/>
                <w:szCs w:val="18"/>
              </w:rPr>
              <w:t xml:space="preserve"> dugotrajne imovine (šifre 711+712)</w:t>
            </w:r>
          </w:p>
        </w:tc>
        <w:tc>
          <w:tcPr>
            <w:tcW w:w="2919" w:type="dxa"/>
            <w:tcBorders>
              <w:top w:val="nil"/>
              <w:left w:val="nil"/>
              <w:bottom w:val="single" w:sz="4" w:space="0" w:color="C0C0C0"/>
              <w:right w:val="single" w:sz="4" w:space="0" w:color="000080"/>
            </w:tcBorders>
            <w:shd w:val="clear" w:color="auto" w:fill="auto"/>
            <w:vAlign w:val="center"/>
            <w:hideMark/>
          </w:tcPr>
          <w:p w14:paraId="75DAACB2"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71</w:t>
            </w:r>
          </w:p>
        </w:tc>
        <w:tc>
          <w:tcPr>
            <w:tcW w:w="1462" w:type="dxa"/>
            <w:tcBorders>
              <w:top w:val="nil"/>
              <w:left w:val="nil"/>
              <w:bottom w:val="single" w:sz="4" w:space="0" w:color="C0C0C0"/>
              <w:right w:val="single" w:sz="4" w:space="0" w:color="000080"/>
            </w:tcBorders>
            <w:shd w:val="clear" w:color="auto" w:fill="auto"/>
            <w:noWrap/>
            <w:vAlign w:val="center"/>
            <w:hideMark/>
          </w:tcPr>
          <w:p w14:paraId="6120153C"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26DB8048"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4DD509B2"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5CA53D87"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10985DBE"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72</w:t>
            </w:r>
          </w:p>
        </w:tc>
        <w:tc>
          <w:tcPr>
            <w:tcW w:w="5157" w:type="dxa"/>
            <w:tcBorders>
              <w:top w:val="nil"/>
              <w:left w:val="nil"/>
              <w:bottom w:val="single" w:sz="4" w:space="0" w:color="C0C0C0"/>
              <w:right w:val="single" w:sz="4" w:space="0" w:color="000080"/>
            </w:tcBorders>
            <w:shd w:val="clear" w:color="auto" w:fill="auto"/>
            <w:vAlign w:val="center"/>
            <w:hideMark/>
          </w:tcPr>
          <w:p w14:paraId="4050F965"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Prihodi od prodaje proizvedene dugotrajne imovine (šifre 721+722+723+724+725+726)</w:t>
            </w:r>
          </w:p>
        </w:tc>
        <w:tc>
          <w:tcPr>
            <w:tcW w:w="2919" w:type="dxa"/>
            <w:tcBorders>
              <w:top w:val="nil"/>
              <w:left w:val="nil"/>
              <w:bottom w:val="single" w:sz="4" w:space="0" w:color="C0C0C0"/>
              <w:right w:val="single" w:sz="4" w:space="0" w:color="000080"/>
            </w:tcBorders>
            <w:shd w:val="clear" w:color="auto" w:fill="auto"/>
            <w:vAlign w:val="center"/>
            <w:hideMark/>
          </w:tcPr>
          <w:p w14:paraId="7D7C7A72"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72</w:t>
            </w:r>
          </w:p>
        </w:tc>
        <w:tc>
          <w:tcPr>
            <w:tcW w:w="1462" w:type="dxa"/>
            <w:tcBorders>
              <w:top w:val="nil"/>
              <w:left w:val="nil"/>
              <w:bottom w:val="single" w:sz="4" w:space="0" w:color="C0C0C0"/>
              <w:right w:val="single" w:sz="4" w:space="0" w:color="000080"/>
            </w:tcBorders>
            <w:shd w:val="clear" w:color="auto" w:fill="auto"/>
            <w:noWrap/>
            <w:vAlign w:val="center"/>
            <w:hideMark/>
          </w:tcPr>
          <w:p w14:paraId="2B7250B1"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5B8E51B8"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7DE1DB41"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203DB834"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6B8B8D3A"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73</w:t>
            </w:r>
          </w:p>
        </w:tc>
        <w:tc>
          <w:tcPr>
            <w:tcW w:w="5157" w:type="dxa"/>
            <w:tcBorders>
              <w:top w:val="nil"/>
              <w:left w:val="nil"/>
              <w:bottom w:val="single" w:sz="4" w:space="0" w:color="C0C0C0"/>
              <w:right w:val="single" w:sz="4" w:space="0" w:color="000080"/>
            </w:tcBorders>
            <w:shd w:val="clear" w:color="auto" w:fill="auto"/>
            <w:vAlign w:val="center"/>
            <w:hideMark/>
          </w:tcPr>
          <w:p w14:paraId="63B5D01F"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Prihodi od prodaje plemenitih metala i ostalih pohranjenih vrijednosti (šifra 731)</w:t>
            </w:r>
          </w:p>
        </w:tc>
        <w:tc>
          <w:tcPr>
            <w:tcW w:w="2919" w:type="dxa"/>
            <w:tcBorders>
              <w:top w:val="nil"/>
              <w:left w:val="nil"/>
              <w:bottom w:val="single" w:sz="4" w:space="0" w:color="C0C0C0"/>
              <w:right w:val="single" w:sz="4" w:space="0" w:color="000080"/>
            </w:tcBorders>
            <w:shd w:val="clear" w:color="auto" w:fill="auto"/>
            <w:vAlign w:val="center"/>
            <w:hideMark/>
          </w:tcPr>
          <w:p w14:paraId="50FE1E63"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73</w:t>
            </w:r>
          </w:p>
        </w:tc>
        <w:tc>
          <w:tcPr>
            <w:tcW w:w="1462" w:type="dxa"/>
            <w:tcBorders>
              <w:top w:val="nil"/>
              <w:left w:val="nil"/>
              <w:bottom w:val="single" w:sz="4" w:space="0" w:color="C0C0C0"/>
              <w:right w:val="single" w:sz="4" w:space="0" w:color="000080"/>
            </w:tcBorders>
            <w:shd w:val="clear" w:color="auto" w:fill="auto"/>
            <w:noWrap/>
            <w:vAlign w:val="center"/>
            <w:hideMark/>
          </w:tcPr>
          <w:p w14:paraId="3FE08FBC"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24F6FBFC"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322DC079"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37BF50B7"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0393DBA4"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74</w:t>
            </w:r>
          </w:p>
        </w:tc>
        <w:tc>
          <w:tcPr>
            <w:tcW w:w="5157" w:type="dxa"/>
            <w:tcBorders>
              <w:top w:val="nil"/>
              <w:left w:val="nil"/>
              <w:bottom w:val="single" w:sz="4" w:space="0" w:color="C0C0C0"/>
              <w:right w:val="single" w:sz="4" w:space="0" w:color="000080"/>
            </w:tcBorders>
            <w:shd w:val="clear" w:color="auto" w:fill="auto"/>
            <w:vAlign w:val="center"/>
            <w:hideMark/>
          </w:tcPr>
          <w:p w14:paraId="5A5DD574"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Prihodi od prodaje proizvedene kratkotrajne imovine (šifra 741)</w:t>
            </w:r>
          </w:p>
        </w:tc>
        <w:tc>
          <w:tcPr>
            <w:tcW w:w="2919" w:type="dxa"/>
            <w:tcBorders>
              <w:top w:val="nil"/>
              <w:left w:val="nil"/>
              <w:bottom w:val="single" w:sz="4" w:space="0" w:color="C0C0C0"/>
              <w:right w:val="single" w:sz="4" w:space="0" w:color="000080"/>
            </w:tcBorders>
            <w:shd w:val="clear" w:color="auto" w:fill="auto"/>
            <w:vAlign w:val="center"/>
            <w:hideMark/>
          </w:tcPr>
          <w:p w14:paraId="5CD2A9CA"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74</w:t>
            </w:r>
          </w:p>
        </w:tc>
        <w:tc>
          <w:tcPr>
            <w:tcW w:w="1462" w:type="dxa"/>
            <w:tcBorders>
              <w:top w:val="nil"/>
              <w:left w:val="nil"/>
              <w:bottom w:val="single" w:sz="4" w:space="0" w:color="C0C0C0"/>
              <w:right w:val="single" w:sz="4" w:space="0" w:color="000080"/>
            </w:tcBorders>
            <w:shd w:val="clear" w:color="auto" w:fill="auto"/>
            <w:noWrap/>
            <w:vAlign w:val="center"/>
            <w:hideMark/>
          </w:tcPr>
          <w:p w14:paraId="18C8A4BE"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6464D840"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0BC8F72E"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6627E19D"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0344F64A"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4</w:t>
            </w:r>
          </w:p>
        </w:tc>
        <w:tc>
          <w:tcPr>
            <w:tcW w:w="5157" w:type="dxa"/>
            <w:tcBorders>
              <w:top w:val="nil"/>
              <w:left w:val="nil"/>
              <w:bottom w:val="single" w:sz="4" w:space="0" w:color="C0C0C0"/>
              <w:right w:val="single" w:sz="4" w:space="0" w:color="000080"/>
            </w:tcBorders>
            <w:shd w:val="clear" w:color="auto" w:fill="auto"/>
            <w:vAlign w:val="center"/>
            <w:hideMark/>
          </w:tcPr>
          <w:p w14:paraId="07A9176E"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Rashodi za nabavu nefinancijske imovine (šifre 41+42+43+44+45)</w:t>
            </w:r>
          </w:p>
        </w:tc>
        <w:tc>
          <w:tcPr>
            <w:tcW w:w="2919" w:type="dxa"/>
            <w:tcBorders>
              <w:top w:val="nil"/>
              <w:left w:val="nil"/>
              <w:bottom w:val="single" w:sz="4" w:space="0" w:color="C0C0C0"/>
              <w:right w:val="single" w:sz="4" w:space="0" w:color="000080"/>
            </w:tcBorders>
            <w:shd w:val="clear" w:color="auto" w:fill="auto"/>
            <w:vAlign w:val="center"/>
            <w:hideMark/>
          </w:tcPr>
          <w:p w14:paraId="7CF48052"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4</w:t>
            </w:r>
          </w:p>
        </w:tc>
        <w:tc>
          <w:tcPr>
            <w:tcW w:w="1462" w:type="dxa"/>
            <w:tcBorders>
              <w:top w:val="nil"/>
              <w:left w:val="nil"/>
              <w:bottom w:val="single" w:sz="4" w:space="0" w:color="C0C0C0"/>
              <w:right w:val="single" w:sz="4" w:space="0" w:color="000080"/>
            </w:tcBorders>
            <w:shd w:val="clear" w:color="auto" w:fill="auto"/>
            <w:noWrap/>
            <w:vAlign w:val="center"/>
            <w:hideMark/>
          </w:tcPr>
          <w:p w14:paraId="4AEBC4D0"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10.062.397,49</w:t>
            </w:r>
          </w:p>
        </w:tc>
        <w:tc>
          <w:tcPr>
            <w:tcW w:w="1462" w:type="dxa"/>
            <w:tcBorders>
              <w:top w:val="nil"/>
              <w:left w:val="nil"/>
              <w:bottom w:val="single" w:sz="4" w:space="0" w:color="C0C0C0"/>
              <w:right w:val="single" w:sz="4" w:space="0" w:color="000080"/>
            </w:tcBorders>
            <w:shd w:val="clear" w:color="auto" w:fill="auto"/>
            <w:noWrap/>
            <w:vAlign w:val="center"/>
            <w:hideMark/>
          </w:tcPr>
          <w:p w14:paraId="51EA3402"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18.287.862,14</w:t>
            </w:r>
          </w:p>
        </w:tc>
        <w:tc>
          <w:tcPr>
            <w:tcW w:w="1574" w:type="dxa"/>
            <w:tcBorders>
              <w:top w:val="nil"/>
              <w:left w:val="nil"/>
              <w:bottom w:val="single" w:sz="4" w:space="0" w:color="C0C0C0"/>
              <w:right w:val="single" w:sz="4" w:space="0" w:color="000000"/>
            </w:tcBorders>
            <w:shd w:val="clear" w:color="auto" w:fill="auto"/>
            <w:noWrap/>
            <w:vAlign w:val="center"/>
            <w:hideMark/>
          </w:tcPr>
          <w:p w14:paraId="20D9FF67"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181,7</w:t>
            </w:r>
          </w:p>
        </w:tc>
      </w:tr>
      <w:tr w:rsidR="00A920E6" w:rsidRPr="00A920E6" w14:paraId="1D6D01D1"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23074404"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41</w:t>
            </w:r>
          </w:p>
        </w:tc>
        <w:tc>
          <w:tcPr>
            <w:tcW w:w="5157" w:type="dxa"/>
            <w:tcBorders>
              <w:top w:val="nil"/>
              <w:left w:val="nil"/>
              <w:bottom w:val="single" w:sz="4" w:space="0" w:color="C0C0C0"/>
              <w:right w:val="single" w:sz="4" w:space="0" w:color="000080"/>
            </w:tcBorders>
            <w:shd w:val="clear" w:color="auto" w:fill="auto"/>
            <w:vAlign w:val="center"/>
            <w:hideMark/>
          </w:tcPr>
          <w:p w14:paraId="68C90A38"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 xml:space="preserve">Rashodi za nabavu </w:t>
            </w:r>
            <w:proofErr w:type="spellStart"/>
            <w:r w:rsidRPr="00A920E6">
              <w:rPr>
                <w:rFonts w:ascii="Arial" w:hAnsi="Arial" w:cs="Arial"/>
                <w:color w:val="000000"/>
                <w:sz w:val="18"/>
                <w:szCs w:val="18"/>
              </w:rPr>
              <w:t>neproizvedene</w:t>
            </w:r>
            <w:proofErr w:type="spellEnd"/>
            <w:r w:rsidRPr="00A920E6">
              <w:rPr>
                <w:rFonts w:ascii="Arial" w:hAnsi="Arial" w:cs="Arial"/>
                <w:color w:val="000000"/>
                <w:sz w:val="18"/>
                <w:szCs w:val="18"/>
              </w:rPr>
              <w:t xml:space="preserve"> dugotrajne imovine (šifre 411+412)</w:t>
            </w:r>
          </w:p>
        </w:tc>
        <w:tc>
          <w:tcPr>
            <w:tcW w:w="2919" w:type="dxa"/>
            <w:tcBorders>
              <w:top w:val="nil"/>
              <w:left w:val="nil"/>
              <w:bottom w:val="single" w:sz="4" w:space="0" w:color="C0C0C0"/>
              <w:right w:val="single" w:sz="4" w:space="0" w:color="000080"/>
            </w:tcBorders>
            <w:shd w:val="clear" w:color="auto" w:fill="auto"/>
            <w:vAlign w:val="center"/>
            <w:hideMark/>
          </w:tcPr>
          <w:p w14:paraId="0399EC1A"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41</w:t>
            </w:r>
          </w:p>
        </w:tc>
        <w:tc>
          <w:tcPr>
            <w:tcW w:w="1462" w:type="dxa"/>
            <w:tcBorders>
              <w:top w:val="nil"/>
              <w:left w:val="nil"/>
              <w:bottom w:val="single" w:sz="4" w:space="0" w:color="C0C0C0"/>
              <w:right w:val="single" w:sz="4" w:space="0" w:color="000080"/>
            </w:tcBorders>
            <w:shd w:val="clear" w:color="auto" w:fill="auto"/>
            <w:noWrap/>
            <w:vAlign w:val="center"/>
            <w:hideMark/>
          </w:tcPr>
          <w:p w14:paraId="4303482F"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653.395,05</w:t>
            </w:r>
          </w:p>
        </w:tc>
        <w:tc>
          <w:tcPr>
            <w:tcW w:w="1462" w:type="dxa"/>
            <w:tcBorders>
              <w:top w:val="nil"/>
              <w:left w:val="nil"/>
              <w:bottom w:val="single" w:sz="4" w:space="0" w:color="C0C0C0"/>
              <w:right w:val="single" w:sz="4" w:space="0" w:color="000080"/>
            </w:tcBorders>
            <w:shd w:val="clear" w:color="auto" w:fill="auto"/>
            <w:noWrap/>
            <w:vAlign w:val="center"/>
            <w:hideMark/>
          </w:tcPr>
          <w:p w14:paraId="6FF50964"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664.558,62</w:t>
            </w:r>
          </w:p>
        </w:tc>
        <w:tc>
          <w:tcPr>
            <w:tcW w:w="1574" w:type="dxa"/>
            <w:tcBorders>
              <w:top w:val="nil"/>
              <w:left w:val="nil"/>
              <w:bottom w:val="single" w:sz="4" w:space="0" w:color="C0C0C0"/>
              <w:right w:val="single" w:sz="4" w:space="0" w:color="000000"/>
            </w:tcBorders>
            <w:shd w:val="clear" w:color="auto" w:fill="auto"/>
            <w:noWrap/>
            <w:vAlign w:val="center"/>
            <w:hideMark/>
          </w:tcPr>
          <w:p w14:paraId="267624C3"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101,7</w:t>
            </w:r>
          </w:p>
        </w:tc>
      </w:tr>
      <w:tr w:rsidR="00A920E6" w:rsidRPr="00A920E6" w14:paraId="2E646929"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159B7FA2"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412</w:t>
            </w:r>
          </w:p>
        </w:tc>
        <w:tc>
          <w:tcPr>
            <w:tcW w:w="5157" w:type="dxa"/>
            <w:tcBorders>
              <w:top w:val="nil"/>
              <w:left w:val="nil"/>
              <w:bottom w:val="single" w:sz="4" w:space="0" w:color="C0C0C0"/>
              <w:right w:val="single" w:sz="4" w:space="0" w:color="000080"/>
            </w:tcBorders>
            <w:shd w:val="clear" w:color="auto" w:fill="auto"/>
            <w:vAlign w:val="center"/>
            <w:hideMark/>
          </w:tcPr>
          <w:p w14:paraId="097C35C2"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Nematerijalna imovina (šifre 4121 do 4126)</w:t>
            </w:r>
          </w:p>
        </w:tc>
        <w:tc>
          <w:tcPr>
            <w:tcW w:w="2919" w:type="dxa"/>
            <w:tcBorders>
              <w:top w:val="nil"/>
              <w:left w:val="nil"/>
              <w:bottom w:val="single" w:sz="4" w:space="0" w:color="C0C0C0"/>
              <w:right w:val="single" w:sz="4" w:space="0" w:color="000080"/>
            </w:tcBorders>
            <w:shd w:val="clear" w:color="auto" w:fill="auto"/>
            <w:vAlign w:val="center"/>
            <w:hideMark/>
          </w:tcPr>
          <w:p w14:paraId="7D270706"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412</w:t>
            </w:r>
          </w:p>
        </w:tc>
        <w:tc>
          <w:tcPr>
            <w:tcW w:w="1462" w:type="dxa"/>
            <w:tcBorders>
              <w:top w:val="nil"/>
              <w:left w:val="nil"/>
              <w:bottom w:val="single" w:sz="4" w:space="0" w:color="C0C0C0"/>
              <w:right w:val="single" w:sz="4" w:space="0" w:color="000080"/>
            </w:tcBorders>
            <w:shd w:val="clear" w:color="auto" w:fill="auto"/>
            <w:noWrap/>
            <w:vAlign w:val="center"/>
            <w:hideMark/>
          </w:tcPr>
          <w:p w14:paraId="5D45702F"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653.395,05</w:t>
            </w:r>
          </w:p>
        </w:tc>
        <w:tc>
          <w:tcPr>
            <w:tcW w:w="1462" w:type="dxa"/>
            <w:tcBorders>
              <w:top w:val="nil"/>
              <w:left w:val="nil"/>
              <w:bottom w:val="single" w:sz="4" w:space="0" w:color="C0C0C0"/>
              <w:right w:val="single" w:sz="4" w:space="0" w:color="000080"/>
            </w:tcBorders>
            <w:shd w:val="clear" w:color="auto" w:fill="auto"/>
            <w:noWrap/>
            <w:vAlign w:val="center"/>
            <w:hideMark/>
          </w:tcPr>
          <w:p w14:paraId="4BED906B"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664.558,62</w:t>
            </w:r>
          </w:p>
        </w:tc>
        <w:tc>
          <w:tcPr>
            <w:tcW w:w="1574" w:type="dxa"/>
            <w:tcBorders>
              <w:top w:val="nil"/>
              <w:left w:val="nil"/>
              <w:bottom w:val="single" w:sz="4" w:space="0" w:color="C0C0C0"/>
              <w:right w:val="single" w:sz="4" w:space="0" w:color="000000"/>
            </w:tcBorders>
            <w:shd w:val="clear" w:color="auto" w:fill="auto"/>
            <w:noWrap/>
            <w:vAlign w:val="center"/>
            <w:hideMark/>
          </w:tcPr>
          <w:p w14:paraId="73CA2E70"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101,7</w:t>
            </w:r>
          </w:p>
        </w:tc>
      </w:tr>
      <w:tr w:rsidR="00A920E6" w:rsidRPr="00A920E6" w14:paraId="5A658E8F"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7963E325"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4123</w:t>
            </w:r>
          </w:p>
        </w:tc>
        <w:tc>
          <w:tcPr>
            <w:tcW w:w="5157" w:type="dxa"/>
            <w:tcBorders>
              <w:top w:val="nil"/>
              <w:left w:val="nil"/>
              <w:bottom w:val="single" w:sz="4" w:space="0" w:color="C0C0C0"/>
              <w:right w:val="single" w:sz="4" w:space="0" w:color="000080"/>
            </w:tcBorders>
            <w:shd w:val="clear" w:color="auto" w:fill="auto"/>
            <w:vAlign w:val="center"/>
            <w:hideMark/>
          </w:tcPr>
          <w:p w14:paraId="080DF217"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Licence</w:t>
            </w:r>
          </w:p>
        </w:tc>
        <w:tc>
          <w:tcPr>
            <w:tcW w:w="2919" w:type="dxa"/>
            <w:tcBorders>
              <w:top w:val="nil"/>
              <w:left w:val="nil"/>
              <w:bottom w:val="single" w:sz="4" w:space="0" w:color="C0C0C0"/>
              <w:right w:val="single" w:sz="4" w:space="0" w:color="000080"/>
            </w:tcBorders>
            <w:shd w:val="clear" w:color="auto" w:fill="auto"/>
            <w:vAlign w:val="center"/>
            <w:hideMark/>
          </w:tcPr>
          <w:p w14:paraId="1A0D0259"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4123</w:t>
            </w:r>
          </w:p>
        </w:tc>
        <w:tc>
          <w:tcPr>
            <w:tcW w:w="1462" w:type="dxa"/>
            <w:tcBorders>
              <w:top w:val="nil"/>
              <w:left w:val="nil"/>
              <w:bottom w:val="single" w:sz="4" w:space="0" w:color="C0C0C0"/>
              <w:right w:val="single" w:sz="4" w:space="0" w:color="000080"/>
            </w:tcBorders>
            <w:shd w:val="clear" w:color="auto" w:fill="auto"/>
            <w:noWrap/>
            <w:vAlign w:val="center"/>
            <w:hideMark/>
          </w:tcPr>
          <w:p w14:paraId="001FC755"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129.952,80</w:t>
            </w:r>
          </w:p>
        </w:tc>
        <w:tc>
          <w:tcPr>
            <w:tcW w:w="1462" w:type="dxa"/>
            <w:tcBorders>
              <w:top w:val="nil"/>
              <w:left w:val="nil"/>
              <w:bottom w:val="single" w:sz="4" w:space="0" w:color="C0C0C0"/>
              <w:right w:val="single" w:sz="4" w:space="0" w:color="000080"/>
            </w:tcBorders>
            <w:shd w:val="clear" w:color="auto" w:fill="auto"/>
            <w:noWrap/>
            <w:vAlign w:val="center"/>
            <w:hideMark/>
          </w:tcPr>
          <w:p w14:paraId="5E2EC7CB"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498.433,62</w:t>
            </w:r>
          </w:p>
        </w:tc>
        <w:tc>
          <w:tcPr>
            <w:tcW w:w="1574" w:type="dxa"/>
            <w:tcBorders>
              <w:top w:val="nil"/>
              <w:left w:val="nil"/>
              <w:bottom w:val="single" w:sz="4" w:space="0" w:color="C0C0C0"/>
              <w:right w:val="single" w:sz="4" w:space="0" w:color="000000"/>
            </w:tcBorders>
            <w:shd w:val="clear" w:color="auto" w:fill="auto"/>
            <w:noWrap/>
            <w:vAlign w:val="center"/>
            <w:hideMark/>
          </w:tcPr>
          <w:p w14:paraId="43B38E44"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383,5</w:t>
            </w:r>
          </w:p>
        </w:tc>
      </w:tr>
      <w:tr w:rsidR="00A920E6" w:rsidRPr="00A920E6" w14:paraId="72554C5E"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063FB786"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4126</w:t>
            </w:r>
          </w:p>
        </w:tc>
        <w:tc>
          <w:tcPr>
            <w:tcW w:w="5157" w:type="dxa"/>
            <w:tcBorders>
              <w:top w:val="nil"/>
              <w:left w:val="nil"/>
              <w:bottom w:val="single" w:sz="4" w:space="0" w:color="C0C0C0"/>
              <w:right w:val="single" w:sz="4" w:space="0" w:color="000080"/>
            </w:tcBorders>
            <w:shd w:val="clear" w:color="auto" w:fill="auto"/>
            <w:vAlign w:val="center"/>
            <w:hideMark/>
          </w:tcPr>
          <w:p w14:paraId="55704BB2"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Ostala nematerijalna imovina</w:t>
            </w:r>
          </w:p>
        </w:tc>
        <w:tc>
          <w:tcPr>
            <w:tcW w:w="2919" w:type="dxa"/>
            <w:tcBorders>
              <w:top w:val="nil"/>
              <w:left w:val="nil"/>
              <w:bottom w:val="single" w:sz="4" w:space="0" w:color="C0C0C0"/>
              <w:right w:val="single" w:sz="4" w:space="0" w:color="000080"/>
            </w:tcBorders>
            <w:shd w:val="clear" w:color="auto" w:fill="auto"/>
            <w:vAlign w:val="center"/>
            <w:hideMark/>
          </w:tcPr>
          <w:p w14:paraId="5014D876"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4126</w:t>
            </w:r>
          </w:p>
        </w:tc>
        <w:tc>
          <w:tcPr>
            <w:tcW w:w="1462" w:type="dxa"/>
            <w:tcBorders>
              <w:top w:val="nil"/>
              <w:left w:val="nil"/>
              <w:bottom w:val="single" w:sz="4" w:space="0" w:color="C0C0C0"/>
              <w:right w:val="single" w:sz="4" w:space="0" w:color="000080"/>
            </w:tcBorders>
            <w:shd w:val="clear" w:color="auto" w:fill="auto"/>
            <w:noWrap/>
            <w:vAlign w:val="center"/>
            <w:hideMark/>
          </w:tcPr>
          <w:p w14:paraId="4AC0F6D1"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523.442,25</w:t>
            </w:r>
          </w:p>
        </w:tc>
        <w:tc>
          <w:tcPr>
            <w:tcW w:w="1462" w:type="dxa"/>
            <w:tcBorders>
              <w:top w:val="nil"/>
              <w:left w:val="nil"/>
              <w:bottom w:val="single" w:sz="4" w:space="0" w:color="C0C0C0"/>
              <w:right w:val="single" w:sz="4" w:space="0" w:color="000080"/>
            </w:tcBorders>
            <w:shd w:val="clear" w:color="auto" w:fill="auto"/>
            <w:noWrap/>
            <w:vAlign w:val="center"/>
            <w:hideMark/>
          </w:tcPr>
          <w:p w14:paraId="67C9827F"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166.125,00</w:t>
            </w:r>
          </w:p>
        </w:tc>
        <w:tc>
          <w:tcPr>
            <w:tcW w:w="1574" w:type="dxa"/>
            <w:tcBorders>
              <w:top w:val="nil"/>
              <w:left w:val="nil"/>
              <w:bottom w:val="single" w:sz="4" w:space="0" w:color="C0C0C0"/>
              <w:right w:val="single" w:sz="4" w:space="0" w:color="000000"/>
            </w:tcBorders>
            <w:shd w:val="clear" w:color="auto" w:fill="auto"/>
            <w:noWrap/>
            <w:vAlign w:val="center"/>
            <w:hideMark/>
          </w:tcPr>
          <w:p w14:paraId="38A0226C"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31,7</w:t>
            </w:r>
          </w:p>
        </w:tc>
      </w:tr>
      <w:tr w:rsidR="00A920E6" w:rsidRPr="00A920E6" w14:paraId="08232C11"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4D5FA8C2"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42</w:t>
            </w:r>
          </w:p>
        </w:tc>
        <w:tc>
          <w:tcPr>
            <w:tcW w:w="5157" w:type="dxa"/>
            <w:tcBorders>
              <w:top w:val="nil"/>
              <w:left w:val="nil"/>
              <w:bottom w:val="single" w:sz="4" w:space="0" w:color="C0C0C0"/>
              <w:right w:val="single" w:sz="4" w:space="0" w:color="000080"/>
            </w:tcBorders>
            <w:shd w:val="clear" w:color="auto" w:fill="auto"/>
            <w:vAlign w:val="center"/>
            <w:hideMark/>
          </w:tcPr>
          <w:p w14:paraId="69DA08FE"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Rashodi za nabavu proizvedene dugotrajne imovine (šifre 421+422+423+424+425+426)</w:t>
            </w:r>
          </w:p>
        </w:tc>
        <w:tc>
          <w:tcPr>
            <w:tcW w:w="2919" w:type="dxa"/>
            <w:tcBorders>
              <w:top w:val="nil"/>
              <w:left w:val="nil"/>
              <w:bottom w:val="single" w:sz="4" w:space="0" w:color="C0C0C0"/>
              <w:right w:val="single" w:sz="4" w:space="0" w:color="000080"/>
            </w:tcBorders>
            <w:shd w:val="clear" w:color="auto" w:fill="auto"/>
            <w:vAlign w:val="center"/>
            <w:hideMark/>
          </w:tcPr>
          <w:p w14:paraId="6C97F567"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42</w:t>
            </w:r>
          </w:p>
        </w:tc>
        <w:tc>
          <w:tcPr>
            <w:tcW w:w="1462" w:type="dxa"/>
            <w:tcBorders>
              <w:top w:val="nil"/>
              <w:left w:val="nil"/>
              <w:bottom w:val="single" w:sz="4" w:space="0" w:color="C0C0C0"/>
              <w:right w:val="single" w:sz="4" w:space="0" w:color="000080"/>
            </w:tcBorders>
            <w:shd w:val="clear" w:color="auto" w:fill="auto"/>
            <w:noWrap/>
            <w:vAlign w:val="center"/>
            <w:hideMark/>
          </w:tcPr>
          <w:p w14:paraId="1CAE574C"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9.121.225,84</w:t>
            </w:r>
          </w:p>
        </w:tc>
        <w:tc>
          <w:tcPr>
            <w:tcW w:w="1462" w:type="dxa"/>
            <w:tcBorders>
              <w:top w:val="nil"/>
              <w:left w:val="nil"/>
              <w:bottom w:val="single" w:sz="4" w:space="0" w:color="C0C0C0"/>
              <w:right w:val="single" w:sz="4" w:space="0" w:color="000080"/>
            </w:tcBorders>
            <w:shd w:val="clear" w:color="auto" w:fill="auto"/>
            <w:noWrap/>
            <w:vAlign w:val="center"/>
            <w:hideMark/>
          </w:tcPr>
          <w:p w14:paraId="6757C138"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17.085.653,02</w:t>
            </w:r>
          </w:p>
        </w:tc>
        <w:tc>
          <w:tcPr>
            <w:tcW w:w="1574" w:type="dxa"/>
            <w:tcBorders>
              <w:top w:val="nil"/>
              <w:left w:val="nil"/>
              <w:bottom w:val="single" w:sz="4" w:space="0" w:color="C0C0C0"/>
              <w:right w:val="single" w:sz="4" w:space="0" w:color="000000"/>
            </w:tcBorders>
            <w:shd w:val="clear" w:color="auto" w:fill="auto"/>
            <w:noWrap/>
            <w:vAlign w:val="center"/>
            <w:hideMark/>
          </w:tcPr>
          <w:p w14:paraId="2C9C6D8B"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187,3</w:t>
            </w:r>
          </w:p>
        </w:tc>
      </w:tr>
      <w:tr w:rsidR="00A920E6" w:rsidRPr="00A920E6" w14:paraId="1E8EB174"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485E2EFD"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421</w:t>
            </w:r>
          </w:p>
        </w:tc>
        <w:tc>
          <w:tcPr>
            <w:tcW w:w="5157" w:type="dxa"/>
            <w:tcBorders>
              <w:top w:val="nil"/>
              <w:left w:val="nil"/>
              <w:bottom w:val="single" w:sz="4" w:space="0" w:color="C0C0C0"/>
              <w:right w:val="single" w:sz="4" w:space="0" w:color="000080"/>
            </w:tcBorders>
            <w:shd w:val="clear" w:color="auto" w:fill="auto"/>
            <w:vAlign w:val="center"/>
            <w:hideMark/>
          </w:tcPr>
          <w:p w14:paraId="603D7D32"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Građevinski objekti (šifre 4211 do 4214)</w:t>
            </w:r>
          </w:p>
        </w:tc>
        <w:tc>
          <w:tcPr>
            <w:tcW w:w="2919" w:type="dxa"/>
            <w:tcBorders>
              <w:top w:val="nil"/>
              <w:left w:val="nil"/>
              <w:bottom w:val="single" w:sz="4" w:space="0" w:color="C0C0C0"/>
              <w:right w:val="single" w:sz="4" w:space="0" w:color="000080"/>
            </w:tcBorders>
            <w:shd w:val="clear" w:color="auto" w:fill="auto"/>
            <w:vAlign w:val="center"/>
            <w:hideMark/>
          </w:tcPr>
          <w:p w14:paraId="31F8C679"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421</w:t>
            </w:r>
          </w:p>
        </w:tc>
        <w:tc>
          <w:tcPr>
            <w:tcW w:w="1462" w:type="dxa"/>
            <w:tcBorders>
              <w:top w:val="nil"/>
              <w:left w:val="nil"/>
              <w:bottom w:val="single" w:sz="4" w:space="0" w:color="C0C0C0"/>
              <w:right w:val="single" w:sz="4" w:space="0" w:color="000080"/>
            </w:tcBorders>
            <w:shd w:val="clear" w:color="auto" w:fill="auto"/>
            <w:noWrap/>
            <w:vAlign w:val="center"/>
            <w:hideMark/>
          </w:tcPr>
          <w:p w14:paraId="2FE2EB98"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860.657,34</w:t>
            </w:r>
          </w:p>
        </w:tc>
        <w:tc>
          <w:tcPr>
            <w:tcW w:w="1462" w:type="dxa"/>
            <w:tcBorders>
              <w:top w:val="nil"/>
              <w:left w:val="nil"/>
              <w:bottom w:val="single" w:sz="4" w:space="0" w:color="C0C0C0"/>
              <w:right w:val="single" w:sz="4" w:space="0" w:color="000080"/>
            </w:tcBorders>
            <w:shd w:val="clear" w:color="auto" w:fill="auto"/>
            <w:noWrap/>
            <w:vAlign w:val="center"/>
            <w:hideMark/>
          </w:tcPr>
          <w:p w14:paraId="2F7505AE"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3767A76C"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0,0</w:t>
            </w:r>
          </w:p>
        </w:tc>
      </w:tr>
      <w:tr w:rsidR="00A920E6" w:rsidRPr="00A920E6" w14:paraId="7F87A8F3"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604BD36F"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4214</w:t>
            </w:r>
          </w:p>
        </w:tc>
        <w:tc>
          <w:tcPr>
            <w:tcW w:w="5157" w:type="dxa"/>
            <w:tcBorders>
              <w:top w:val="nil"/>
              <w:left w:val="nil"/>
              <w:bottom w:val="single" w:sz="4" w:space="0" w:color="C0C0C0"/>
              <w:right w:val="single" w:sz="4" w:space="0" w:color="000080"/>
            </w:tcBorders>
            <w:shd w:val="clear" w:color="auto" w:fill="auto"/>
            <w:vAlign w:val="center"/>
            <w:hideMark/>
          </w:tcPr>
          <w:p w14:paraId="57FB30B9"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Ostali građevinski objekti</w:t>
            </w:r>
          </w:p>
        </w:tc>
        <w:tc>
          <w:tcPr>
            <w:tcW w:w="2919" w:type="dxa"/>
            <w:tcBorders>
              <w:top w:val="nil"/>
              <w:left w:val="nil"/>
              <w:bottom w:val="single" w:sz="4" w:space="0" w:color="C0C0C0"/>
              <w:right w:val="single" w:sz="4" w:space="0" w:color="000080"/>
            </w:tcBorders>
            <w:shd w:val="clear" w:color="auto" w:fill="auto"/>
            <w:vAlign w:val="center"/>
            <w:hideMark/>
          </w:tcPr>
          <w:p w14:paraId="5A891C85"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4214</w:t>
            </w:r>
          </w:p>
        </w:tc>
        <w:tc>
          <w:tcPr>
            <w:tcW w:w="1462" w:type="dxa"/>
            <w:tcBorders>
              <w:top w:val="nil"/>
              <w:left w:val="nil"/>
              <w:bottom w:val="single" w:sz="4" w:space="0" w:color="C0C0C0"/>
              <w:right w:val="single" w:sz="4" w:space="0" w:color="000080"/>
            </w:tcBorders>
            <w:shd w:val="clear" w:color="auto" w:fill="auto"/>
            <w:noWrap/>
            <w:vAlign w:val="center"/>
            <w:hideMark/>
          </w:tcPr>
          <w:p w14:paraId="5918090F"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860.657,34</w:t>
            </w:r>
          </w:p>
        </w:tc>
        <w:tc>
          <w:tcPr>
            <w:tcW w:w="1462" w:type="dxa"/>
            <w:tcBorders>
              <w:top w:val="nil"/>
              <w:left w:val="nil"/>
              <w:bottom w:val="single" w:sz="4" w:space="0" w:color="C0C0C0"/>
              <w:right w:val="single" w:sz="4" w:space="0" w:color="000080"/>
            </w:tcBorders>
            <w:shd w:val="clear" w:color="auto" w:fill="auto"/>
            <w:noWrap/>
            <w:vAlign w:val="center"/>
            <w:hideMark/>
          </w:tcPr>
          <w:p w14:paraId="0A207020"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 </w:t>
            </w:r>
          </w:p>
        </w:tc>
        <w:tc>
          <w:tcPr>
            <w:tcW w:w="1574" w:type="dxa"/>
            <w:tcBorders>
              <w:top w:val="nil"/>
              <w:left w:val="nil"/>
              <w:bottom w:val="single" w:sz="4" w:space="0" w:color="C0C0C0"/>
              <w:right w:val="single" w:sz="4" w:space="0" w:color="000000"/>
            </w:tcBorders>
            <w:shd w:val="clear" w:color="auto" w:fill="auto"/>
            <w:noWrap/>
            <w:vAlign w:val="center"/>
            <w:hideMark/>
          </w:tcPr>
          <w:p w14:paraId="197A2FC7"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0,0</w:t>
            </w:r>
          </w:p>
        </w:tc>
      </w:tr>
      <w:tr w:rsidR="00A920E6" w:rsidRPr="00A920E6" w14:paraId="04538E41"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1269734F"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422</w:t>
            </w:r>
          </w:p>
        </w:tc>
        <w:tc>
          <w:tcPr>
            <w:tcW w:w="5157" w:type="dxa"/>
            <w:tcBorders>
              <w:top w:val="nil"/>
              <w:left w:val="nil"/>
              <w:bottom w:val="single" w:sz="4" w:space="0" w:color="C0C0C0"/>
              <w:right w:val="single" w:sz="4" w:space="0" w:color="000080"/>
            </w:tcBorders>
            <w:shd w:val="clear" w:color="auto" w:fill="auto"/>
            <w:vAlign w:val="center"/>
            <w:hideMark/>
          </w:tcPr>
          <w:p w14:paraId="72794914"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Postrojenja i oprema (šifre 4221 do 4228)</w:t>
            </w:r>
          </w:p>
        </w:tc>
        <w:tc>
          <w:tcPr>
            <w:tcW w:w="2919" w:type="dxa"/>
            <w:tcBorders>
              <w:top w:val="nil"/>
              <w:left w:val="nil"/>
              <w:bottom w:val="single" w:sz="4" w:space="0" w:color="C0C0C0"/>
              <w:right w:val="single" w:sz="4" w:space="0" w:color="000080"/>
            </w:tcBorders>
            <w:shd w:val="clear" w:color="auto" w:fill="auto"/>
            <w:vAlign w:val="center"/>
            <w:hideMark/>
          </w:tcPr>
          <w:p w14:paraId="31F58AFD"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422</w:t>
            </w:r>
          </w:p>
        </w:tc>
        <w:tc>
          <w:tcPr>
            <w:tcW w:w="1462" w:type="dxa"/>
            <w:tcBorders>
              <w:top w:val="nil"/>
              <w:left w:val="nil"/>
              <w:bottom w:val="single" w:sz="4" w:space="0" w:color="C0C0C0"/>
              <w:right w:val="single" w:sz="4" w:space="0" w:color="000080"/>
            </w:tcBorders>
            <w:shd w:val="clear" w:color="auto" w:fill="auto"/>
            <w:noWrap/>
            <w:vAlign w:val="center"/>
            <w:hideMark/>
          </w:tcPr>
          <w:p w14:paraId="33E1D62A"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2.252.597,67</w:t>
            </w:r>
          </w:p>
        </w:tc>
        <w:tc>
          <w:tcPr>
            <w:tcW w:w="1462" w:type="dxa"/>
            <w:tcBorders>
              <w:top w:val="nil"/>
              <w:left w:val="nil"/>
              <w:bottom w:val="single" w:sz="4" w:space="0" w:color="C0C0C0"/>
              <w:right w:val="single" w:sz="4" w:space="0" w:color="000080"/>
            </w:tcBorders>
            <w:shd w:val="clear" w:color="auto" w:fill="auto"/>
            <w:noWrap/>
            <w:vAlign w:val="center"/>
            <w:hideMark/>
          </w:tcPr>
          <w:p w14:paraId="79E1E352"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3.448.704,19</w:t>
            </w:r>
          </w:p>
        </w:tc>
        <w:tc>
          <w:tcPr>
            <w:tcW w:w="1574" w:type="dxa"/>
            <w:tcBorders>
              <w:top w:val="nil"/>
              <w:left w:val="nil"/>
              <w:bottom w:val="single" w:sz="4" w:space="0" w:color="C0C0C0"/>
              <w:right w:val="single" w:sz="4" w:space="0" w:color="000000"/>
            </w:tcBorders>
            <w:shd w:val="clear" w:color="auto" w:fill="auto"/>
            <w:noWrap/>
            <w:vAlign w:val="center"/>
            <w:hideMark/>
          </w:tcPr>
          <w:p w14:paraId="69DAA75D"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153,1</w:t>
            </w:r>
          </w:p>
        </w:tc>
      </w:tr>
      <w:tr w:rsidR="00A920E6" w:rsidRPr="00A920E6" w14:paraId="2CB7223C"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14850392"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4221</w:t>
            </w:r>
          </w:p>
        </w:tc>
        <w:tc>
          <w:tcPr>
            <w:tcW w:w="5157" w:type="dxa"/>
            <w:tcBorders>
              <w:top w:val="nil"/>
              <w:left w:val="nil"/>
              <w:bottom w:val="single" w:sz="4" w:space="0" w:color="C0C0C0"/>
              <w:right w:val="single" w:sz="4" w:space="0" w:color="000080"/>
            </w:tcBorders>
            <w:shd w:val="clear" w:color="auto" w:fill="auto"/>
            <w:vAlign w:val="center"/>
            <w:hideMark/>
          </w:tcPr>
          <w:p w14:paraId="4DE6B51B"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Uredska oprema i namještaj</w:t>
            </w:r>
          </w:p>
        </w:tc>
        <w:tc>
          <w:tcPr>
            <w:tcW w:w="2919" w:type="dxa"/>
            <w:tcBorders>
              <w:top w:val="nil"/>
              <w:left w:val="nil"/>
              <w:bottom w:val="single" w:sz="4" w:space="0" w:color="C0C0C0"/>
              <w:right w:val="single" w:sz="4" w:space="0" w:color="000080"/>
            </w:tcBorders>
            <w:shd w:val="clear" w:color="auto" w:fill="auto"/>
            <w:vAlign w:val="center"/>
            <w:hideMark/>
          </w:tcPr>
          <w:p w14:paraId="26BEA813"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4221</w:t>
            </w:r>
          </w:p>
        </w:tc>
        <w:tc>
          <w:tcPr>
            <w:tcW w:w="1462" w:type="dxa"/>
            <w:tcBorders>
              <w:top w:val="nil"/>
              <w:left w:val="nil"/>
              <w:bottom w:val="single" w:sz="4" w:space="0" w:color="C0C0C0"/>
              <w:right w:val="single" w:sz="4" w:space="0" w:color="000080"/>
            </w:tcBorders>
            <w:shd w:val="clear" w:color="auto" w:fill="auto"/>
            <w:noWrap/>
            <w:vAlign w:val="center"/>
            <w:hideMark/>
          </w:tcPr>
          <w:p w14:paraId="7B429D84"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585.340,75</w:t>
            </w:r>
          </w:p>
        </w:tc>
        <w:tc>
          <w:tcPr>
            <w:tcW w:w="1462" w:type="dxa"/>
            <w:tcBorders>
              <w:top w:val="nil"/>
              <w:left w:val="nil"/>
              <w:bottom w:val="single" w:sz="4" w:space="0" w:color="C0C0C0"/>
              <w:right w:val="single" w:sz="4" w:space="0" w:color="000080"/>
            </w:tcBorders>
            <w:shd w:val="clear" w:color="auto" w:fill="auto"/>
            <w:noWrap/>
            <w:vAlign w:val="center"/>
            <w:hideMark/>
          </w:tcPr>
          <w:p w14:paraId="45A1CF22"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383.403,84</w:t>
            </w:r>
          </w:p>
        </w:tc>
        <w:tc>
          <w:tcPr>
            <w:tcW w:w="1574" w:type="dxa"/>
            <w:tcBorders>
              <w:top w:val="nil"/>
              <w:left w:val="nil"/>
              <w:bottom w:val="single" w:sz="4" w:space="0" w:color="C0C0C0"/>
              <w:right w:val="single" w:sz="4" w:space="0" w:color="000000"/>
            </w:tcBorders>
            <w:shd w:val="clear" w:color="auto" w:fill="auto"/>
            <w:noWrap/>
            <w:vAlign w:val="center"/>
            <w:hideMark/>
          </w:tcPr>
          <w:p w14:paraId="6B9420B1"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65,5</w:t>
            </w:r>
          </w:p>
        </w:tc>
      </w:tr>
      <w:tr w:rsidR="00A920E6" w:rsidRPr="00A920E6" w14:paraId="330424AE"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08A91C0F"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4222</w:t>
            </w:r>
          </w:p>
        </w:tc>
        <w:tc>
          <w:tcPr>
            <w:tcW w:w="5157" w:type="dxa"/>
            <w:tcBorders>
              <w:top w:val="nil"/>
              <w:left w:val="nil"/>
              <w:bottom w:val="single" w:sz="4" w:space="0" w:color="C0C0C0"/>
              <w:right w:val="single" w:sz="4" w:space="0" w:color="000080"/>
            </w:tcBorders>
            <w:shd w:val="clear" w:color="auto" w:fill="auto"/>
            <w:vAlign w:val="center"/>
            <w:hideMark/>
          </w:tcPr>
          <w:p w14:paraId="5AA63122"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Komunikacijska oprema</w:t>
            </w:r>
          </w:p>
        </w:tc>
        <w:tc>
          <w:tcPr>
            <w:tcW w:w="2919" w:type="dxa"/>
            <w:tcBorders>
              <w:top w:val="nil"/>
              <w:left w:val="nil"/>
              <w:bottom w:val="single" w:sz="4" w:space="0" w:color="C0C0C0"/>
              <w:right w:val="single" w:sz="4" w:space="0" w:color="000080"/>
            </w:tcBorders>
            <w:shd w:val="clear" w:color="auto" w:fill="auto"/>
            <w:vAlign w:val="center"/>
            <w:hideMark/>
          </w:tcPr>
          <w:p w14:paraId="34B7BC58"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4222</w:t>
            </w:r>
          </w:p>
        </w:tc>
        <w:tc>
          <w:tcPr>
            <w:tcW w:w="1462" w:type="dxa"/>
            <w:tcBorders>
              <w:top w:val="nil"/>
              <w:left w:val="nil"/>
              <w:bottom w:val="single" w:sz="4" w:space="0" w:color="C0C0C0"/>
              <w:right w:val="single" w:sz="4" w:space="0" w:color="000080"/>
            </w:tcBorders>
            <w:shd w:val="clear" w:color="auto" w:fill="auto"/>
            <w:noWrap/>
            <w:vAlign w:val="center"/>
            <w:hideMark/>
          </w:tcPr>
          <w:p w14:paraId="07C15164"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286.994,45</w:t>
            </w:r>
          </w:p>
        </w:tc>
        <w:tc>
          <w:tcPr>
            <w:tcW w:w="1462" w:type="dxa"/>
            <w:tcBorders>
              <w:top w:val="nil"/>
              <w:left w:val="nil"/>
              <w:bottom w:val="single" w:sz="4" w:space="0" w:color="C0C0C0"/>
              <w:right w:val="single" w:sz="4" w:space="0" w:color="000080"/>
            </w:tcBorders>
            <w:shd w:val="clear" w:color="auto" w:fill="auto"/>
            <w:noWrap/>
            <w:vAlign w:val="center"/>
            <w:hideMark/>
          </w:tcPr>
          <w:p w14:paraId="1E5C1F81"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1.215.676,02</w:t>
            </w:r>
          </w:p>
        </w:tc>
        <w:tc>
          <w:tcPr>
            <w:tcW w:w="1574" w:type="dxa"/>
            <w:tcBorders>
              <w:top w:val="nil"/>
              <w:left w:val="nil"/>
              <w:bottom w:val="single" w:sz="4" w:space="0" w:color="C0C0C0"/>
              <w:right w:val="single" w:sz="4" w:space="0" w:color="000000"/>
            </w:tcBorders>
            <w:shd w:val="clear" w:color="auto" w:fill="auto"/>
            <w:noWrap/>
            <w:vAlign w:val="center"/>
            <w:hideMark/>
          </w:tcPr>
          <w:p w14:paraId="4F3157DA"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423,6</w:t>
            </w:r>
          </w:p>
        </w:tc>
      </w:tr>
      <w:tr w:rsidR="00A920E6" w:rsidRPr="00A920E6" w14:paraId="72757660"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410002EC"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4223</w:t>
            </w:r>
          </w:p>
        </w:tc>
        <w:tc>
          <w:tcPr>
            <w:tcW w:w="5157" w:type="dxa"/>
            <w:tcBorders>
              <w:top w:val="nil"/>
              <w:left w:val="nil"/>
              <w:bottom w:val="single" w:sz="4" w:space="0" w:color="C0C0C0"/>
              <w:right w:val="single" w:sz="4" w:space="0" w:color="000080"/>
            </w:tcBorders>
            <w:shd w:val="clear" w:color="auto" w:fill="auto"/>
            <w:vAlign w:val="center"/>
            <w:hideMark/>
          </w:tcPr>
          <w:p w14:paraId="387CFE2A"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Oprema za održavanje i zaštitu</w:t>
            </w:r>
          </w:p>
        </w:tc>
        <w:tc>
          <w:tcPr>
            <w:tcW w:w="2919" w:type="dxa"/>
            <w:tcBorders>
              <w:top w:val="nil"/>
              <w:left w:val="nil"/>
              <w:bottom w:val="single" w:sz="4" w:space="0" w:color="C0C0C0"/>
              <w:right w:val="single" w:sz="4" w:space="0" w:color="000080"/>
            </w:tcBorders>
            <w:shd w:val="clear" w:color="auto" w:fill="auto"/>
            <w:vAlign w:val="center"/>
            <w:hideMark/>
          </w:tcPr>
          <w:p w14:paraId="2E2F5059"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4223</w:t>
            </w:r>
          </w:p>
        </w:tc>
        <w:tc>
          <w:tcPr>
            <w:tcW w:w="1462" w:type="dxa"/>
            <w:tcBorders>
              <w:top w:val="nil"/>
              <w:left w:val="nil"/>
              <w:bottom w:val="single" w:sz="4" w:space="0" w:color="C0C0C0"/>
              <w:right w:val="single" w:sz="4" w:space="0" w:color="000080"/>
            </w:tcBorders>
            <w:shd w:val="clear" w:color="auto" w:fill="auto"/>
            <w:noWrap/>
            <w:vAlign w:val="center"/>
            <w:hideMark/>
          </w:tcPr>
          <w:p w14:paraId="682A3DEC"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32.423,63</w:t>
            </w:r>
          </w:p>
        </w:tc>
        <w:tc>
          <w:tcPr>
            <w:tcW w:w="1462" w:type="dxa"/>
            <w:tcBorders>
              <w:top w:val="nil"/>
              <w:left w:val="nil"/>
              <w:bottom w:val="single" w:sz="4" w:space="0" w:color="C0C0C0"/>
              <w:right w:val="single" w:sz="4" w:space="0" w:color="000080"/>
            </w:tcBorders>
            <w:shd w:val="clear" w:color="auto" w:fill="auto"/>
            <w:noWrap/>
            <w:vAlign w:val="center"/>
            <w:hideMark/>
          </w:tcPr>
          <w:p w14:paraId="37966D89"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31.535,18</w:t>
            </w:r>
          </w:p>
        </w:tc>
        <w:tc>
          <w:tcPr>
            <w:tcW w:w="1574" w:type="dxa"/>
            <w:tcBorders>
              <w:top w:val="nil"/>
              <w:left w:val="nil"/>
              <w:bottom w:val="single" w:sz="4" w:space="0" w:color="C0C0C0"/>
              <w:right w:val="single" w:sz="4" w:space="0" w:color="000000"/>
            </w:tcBorders>
            <w:shd w:val="clear" w:color="auto" w:fill="auto"/>
            <w:noWrap/>
            <w:vAlign w:val="center"/>
            <w:hideMark/>
          </w:tcPr>
          <w:p w14:paraId="20F502B4"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97,3</w:t>
            </w:r>
          </w:p>
        </w:tc>
      </w:tr>
      <w:tr w:rsidR="00A920E6" w:rsidRPr="00A920E6" w14:paraId="1CA67E56"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4C0C5659" w14:textId="77777777" w:rsidR="00A920E6" w:rsidRPr="00A920E6" w:rsidRDefault="00A920E6" w:rsidP="00A920E6">
            <w:pPr>
              <w:rPr>
                <w:rFonts w:ascii="Arial" w:hAnsi="Arial" w:cs="Arial"/>
                <w:sz w:val="18"/>
                <w:szCs w:val="18"/>
              </w:rPr>
            </w:pPr>
            <w:r w:rsidRPr="00A920E6">
              <w:rPr>
                <w:rFonts w:ascii="Arial" w:hAnsi="Arial" w:cs="Arial"/>
                <w:sz w:val="18"/>
                <w:szCs w:val="18"/>
              </w:rPr>
              <w:t>4225</w:t>
            </w:r>
          </w:p>
        </w:tc>
        <w:tc>
          <w:tcPr>
            <w:tcW w:w="5157" w:type="dxa"/>
            <w:tcBorders>
              <w:top w:val="nil"/>
              <w:left w:val="nil"/>
              <w:bottom w:val="single" w:sz="4" w:space="0" w:color="C0C0C0"/>
              <w:right w:val="single" w:sz="4" w:space="0" w:color="000080"/>
            </w:tcBorders>
            <w:shd w:val="clear" w:color="auto" w:fill="auto"/>
            <w:vAlign w:val="center"/>
            <w:hideMark/>
          </w:tcPr>
          <w:p w14:paraId="1059627C" w14:textId="77777777" w:rsidR="00A920E6" w:rsidRPr="00A920E6" w:rsidRDefault="00A920E6" w:rsidP="00A920E6">
            <w:pPr>
              <w:rPr>
                <w:rFonts w:ascii="Arial" w:hAnsi="Arial" w:cs="Arial"/>
                <w:sz w:val="18"/>
                <w:szCs w:val="18"/>
              </w:rPr>
            </w:pPr>
            <w:r w:rsidRPr="00A920E6">
              <w:rPr>
                <w:rFonts w:ascii="Arial" w:hAnsi="Arial" w:cs="Arial"/>
                <w:sz w:val="18"/>
                <w:szCs w:val="18"/>
              </w:rPr>
              <w:t>Instrumenti i uređaji</w:t>
            </w:r>
          </w:p>
        </w:tc>
        <w:tc>
          <w:tcPr>
            <w:tcW w:w="2919" w:type="dxa"/>
            <w:tcBorders>
              <w:top w:val="nil"/>
              <w:left w:val="nil"/>
              <w:bottom w:val="single" w:sz="4" w:space="0" w:color="C0C0C0"/>
              <w:right w:val="single" w:sz="4" w:space="0" w:color="000080"/>
            </w:tcBorders>
            <w:shd w:val="clear" w:color="auto" w:fill="auto"/>
            <w:vAlign w:val="center"/>
            <w:hideMark/>
          </w:tcPr>
          <w:p w14:paraId="5023F3D5" w14:textId="77777777" w:rsidR="00A920E6" w:rsidRPr="00A920E6" w:rsidRDefault="00A920E6" w:rsidP="00A920E6">
            <w:pPr>
              <w:rPr>
                <w:rFonts w:ascii="Arial" w:hAnsi="Arial" w:cs="Arial"/>
                <w:b/>
                <w:bCs/>
                <w:sz w:val="18"/>
                <w:szCs w:val="18"/>
              </w:rPr>
            </w:pPr>
            <w:r w:rsidRPr="00A920E6">
              <w:rPr>
                <w:rFonts w:ascii="Arial" w:hAnsi="Arial" w:cs="Arial"/>
                <w:b/>
                <w:bCs/>
                <w:sz w:val="18"/>
                <w:szCs w:val="18"/>
              </w:rPr>
              <w:t>4225</w:t>
            </w:r>
          </w:p>
        </w:tc>
        <w:tc>
          <w:tcPr>
            <w:tcW w:w="1462" w:type="dxa"/>
            <w:tcBorders>
              <w:top w:val="nil"/>
              <w:left w:val="nil"/>
              <w:bottom w:val="single" w:sz="4" w:space="0" w:color="C0C0C0"/>
              <w:right w:val="single" w:sz="4" w:space="0" w:color="000080"/>
            </w:tcBorders>
            <w:shd w:val="clear" w:color="auto" w:fill="auto"/>
            <w:noWrap/>
            <w:vAlign w:val="center"/>
            <w:hideMark/>
          </w:tcPr>
          <w:p w14:paraId="0E4E027B"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61C1E2D4"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1.450,00</w:t>
            </w:r>
          </w:p>
        </w:tc>
        <w:tc>
          <w:tcPr>
            <w:tcW w:w="1574" w:type="dxa"/>
            <w:tcBorders>
              <w:top w:val="nil"/>
              <w:left w:val="nil"/>
              <w:bottom w:val="single" w:sz="4" w:space="0" w:color="C0C0C0"/>
              <w:right w:val="single" w:sz="4" w:space="0" w:color="000000"/>
            </w:tcBorders>
            <w:shd w:val="clear" w:color="auto" w:fill="auto"/>
            <w:noWrap/>
            <w:vAlign w:val="center"/>
            <w:hideMark/>
          </w:tcPr>
          <w:p w14:paraId="6627B70E"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w:t>
            </w:r>
          </w:p>
        </w:tc>
      </w:tr>
      <w:tr w:rsidR="00A920E6" w:rsidRPr="00A920E6" w14:paraId="4B21DAFF"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27F1D46C"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4227</w:t>
            </w:r>
          </w:p>
        </w:tc>
        <w:tc>
          <w:tcPr>
            <w:tcW w:w="5157" w:type="dxa"/>
            <w:tcBorders>
              <w:top w:val="nil"/>
              <w:left w:val="nil"/>
              <w:bottom w:val="single" w:sz="4" w:space="0" w:color="C0C0C0"/>
              <w:right w:val="single" w:sz="4" w:space="0" w:color="000080"/>
            </w:tcBorders>
            <w:shd w:val="clear" w:color="auto" w:fill="auto"/>
            <w:vAlign w:val="center"/>
            <w:hideMark/>
          </w:tcPr>
          <w:p w14:paraId="036F07E8"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Uređaji, strojevi i oprema za ostale namjene</w:t>
            </w:r>
          </w:p>
        </w:tc>
        <w:tc>
          <w:tcPr>
            <w:tcW w:w="2919" w:type="dxa"/>
            <w:tcBorders>
              <w:top w:val="nil"/>
              <w:left w:val="nil"/>
              <w:bottom w:val="single" w:sz="4" w:space="0" w:color="C0C0C0"/>
              <w:right w:val="single" w:sz="4" w:space="0" w:color="000080"/>
            </w:tcBorders>
            <w:shd w:val="clear" w:color="auto" w:fill="auto"/>
            <w:vAlign w:val="center"/>
            <w:hideMark/>
          </w:tcPr>
          <w:p w14:paraId="558F0C7F"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4227</w:t>
            </w:r>
          </w:p>
        </w:tc>
        <w:tc>
          <w:tcPr>
            <w:tcW w:w="1462" w:type="dxa"/>
            <w:tcBorders>
              <w:top w:val="nil"/>
              <w:left w:val="nil"/>
              <w:bottom w:val="single" w:sz="4" w:space="0" w:color="C0C0C0"/>
              <w:right w:val="single" w:sz="4" w:space="0" w:color="000080"/>
            </w:tcBorders>
            <w:shd w:val="clear" w:color="auto" w:fill="auto"/>
            <w:noWrap/>
            <w:vAlign w:val="center"/>
            <w:hideMark/>
          </w:tcPr>
          <w:p w14:paraId="6BDF4D55"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1.347.838,84</w:t>
            </w:r>
          </w:p>
        </w:tc>
        <w:tc>
          <w:tcPr>
            <w:tcW w:w="1462" w:type="dxa"/>
            <w:tcBorders>
              <w:top w:val="nil"/>
              <w:left w:val="nil"/>
              <w:bottom w:val="single" w:sz="4" w:space="0" w:color="C0C0C0"/>
              <w:right w:val="single" w:sz="4" w:space="0" w:color="000080"/>
            </w:tcBorders>
            <w:shd w:val="clear" w:color="auto" w:fill="auto"/>
            <w:noWrap/>
            <w:vAlign w:val="center"/>
            <w:hideMark/>
          </w:tcPr>
          <w:p w14:paraId="70A6B6FA"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1.816.639,15</w:t>
            </w:r>
          </w:p>
        </w:tc>
        <w:tc>
          <w:tcPr>
            <w:tcW w:w="1574" w:type="dxa"/>
            <w:tcBorders>
              <w:top w:val="nil"/>
              <w:left w:val="nil"/>
              <w:bottom w:val="single" w:sz="4" w:space="0" w:color="C0C0C0"/>
              <w:right w:val="single" w:sz="4" w:space="0" w:color="000000"/>
            </w:tcBorders>
            <w:shd w:val="clear" w:color="auto" w:fill="auto"/>
            <w:noWrap/>
            <w:vAlign w:val="center"/>
            <w:hideMark/>
          </w:tcPr>
          <w:p w14:paraId="46C693D3"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134,8</w:t>
            </w:r>
          </w:p>
        </w:tc>
      </w:tr>
      <w:tr w:rsidR="00A920E6" w:rsidRPr="00A920E6" w14:paraId="57A7CEE0"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4A5909B4"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423</w:t>
            </w:r>
          </w:p>
        </w:tc>
        <w:tc>
          <w:tcPr>
            <w:tcW w:w="5157" w:type="dxa"/>
            <w:tcBorders>
              <w:top w:val="nil"/>
              <w:left w:val="nil"/>
              <w:bottom w:val="single" w:sz="4" w:space="0" w:color="C0C0C0"/>
              <w:right w:val="single" w:sz="4" w:space="0" w:color="000080"/>
            </w:tcBorders>
            <w:shd w:val="clear" w:color="auto" w:fill="auto"/>
            <w:vAlign w:val="center"/>
            <w:hideMark/>
          </w:tcPr>
          <w:p w14:paraId="54D618D4"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Prijevozna sredstva (šifre 4231 do 4234)</w:t>
            </w:r>
          </w:p>
        </w:tc>
        <w:tc>
          <w:tcPr>
            <w:tcW w:w="2919" w:type="dxa"/>
            <w:tcBorders>
              <w:top w:val="nil"/>
              <w:left w:val="nil"/>
              <w:bottom w:val="single" w:sz="4" w:space="0" w:color="C0C0C0"/>
              <w:right w:val="single" w:sz="4" w:space="0" w:color="000080"/>
            </w:tcBorders>
            <w:shd w:val="clear" w:color="auto" w:fill="auto"/>
            <w:vAlign w:val="center"/>
            <w:hideMark/>
          </w:tcPr>
          <w:p w14:paraId="34836012"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423</w:t>
            </w:r>
          </w:p>
        </w:tc>
        <w:tc>
          <w:tcPr>
            <w:tcW w:w="1462" w:type="dxa"/>
            <w:tcBorders>
              <w:top w:val="nil"/>
              <w:left w:val="nil"/>
              <w:bottom w:val="single" w:sz="4" w:space="0" w:color="C0C0C0"/>
              <w:right w:val="single" w:sz="4" w:space="0" w:color="000080"/>
            </w:tcBorders>
            <w:shd w:val="clear" w:color="auto" w:fill="auto"/>
            <w:noWrap/>
            <w:vAlign w:val="center"/>
            <w:hideMark/>
          </w:tcPr>
          <w:p w14:paraId="2F097153"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4.804.924,57</w:t>
            </w:r>
          </w:p>
        </w:tc>
        <w:tc>
          <w:tcPr>
            <w:tcW w:w="1462" w:type="dxa"/>
            <w:tcBorders>
              <w:top w:val="nil"/>
              <w:left w:val="nil"/>
              <w:bottom w:val="single" w:sz="4" w:space="0" w:color="C0C0C0"/>
              <w:right w:val="single" w:sz="4" w:space="0" w:color="000080"/>
            </w:tcBorders>
            <w:shd w:val="clear" w:color="auto" w:fill="auto"/>
            <w:noWrap/>
            <w:vAlign w:val="center"/>
            <w:hideMark/>
          </w:tcPr>
          <w:p w14:paraId="184D4E61"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12.865.736,33</w:t>
            </w:r>
          </w:p>
        </w:tc>
        <w:tc>
          <w:tcPr>
            <w:tcW w:w="1574" w:type="dxa"/>
            <w:tcBorders>
              <w:top w:val="nil"/>
              <w:left w:val="nil"/>
              <w:bottom w:val="single" w:sz="4" w:space="0" w:color="C0C0C0"/>
              <w:right w:val="single" w:sz="4" w:space="0" w:color="000000"/>
            </w:tcBorders>
            <w:shd w:val="clear" w:color="auto" w:fill="auto"/>
            <w:noWrap/>
            <w:vAlign w:val="center"/>
            <w:hideMark/>
          </w:tcPr>
          <w:p w14:paraId="68C48ED1"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267,8</w:t>
            </w:r>
          </w:p>
        </w:tc>
      </w:tr>
      <w:tr w:rsidR="00A920E6" w:rsidRPr="00A920E6" w14:paraId="6535C406"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5BB8573E"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4231</w:t>
            </w:r>
          </w:p>
        </w:tc>
        <w:tc>
          <w:tcPr>
            <w:tcW w:w="5157" w:type="dxa"/>
            <w:tcBorders>
              <w:top w:val="nil"/>
              <w:left w:val="nil"/>
              <w:bottom w:val="single" w:sz="4" w:space="0" w:color="C0C0C0"/>
              <w:right w:val="single" w:sz="4" w:space="0" w:color="000080"/>
            </w:tcBorders>
            <w:shd w:val="clear" w:color="auto" w:fill="auto"/>
            <w:vAlign w:val="center"/>
            <w:hideMark/>
          </w:tcPr>
          <w:p w14:paraId="49F7C6A1"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Prijevozna sredstva u cestovnom prometu</w:t>
            </w:r>
          </w:p>
        </w:tc>
        <w:tc>
          <w:tcPr>
            <w:tcW w:w="2919" w:type="dxa"/>
            <w:tcBorders>
              <w:top w:val="nil"/>
              <w:left w:val="nil"/>
              <w:bottom w:val="single" w:sz="4" w:space="0" w:color="C0C0C0"/>
              <w:right w:val="single" w:sz="4" w:space="0" w:color="000080"/>
            </w:tcBorders>
            <w:shd w:val="clear" w:color="auto" w:fill="auto"/>
            <w:vAlign w:val="center"/>
            <w:hideMark/>
          </w:tcPr>
          <w:p w14:paraId="418BF7EA"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4231</w:t>
            </w:r>
          </w:p>
        </w:tc>
        <w:tc>
          <w:tcPr>
            <w:tcW w:w="1462" w:type="dxa"/>
            <w:tcBorders>
              <w:top w:val="nil"/>
              <w:left w:val="nil"/>
              <w:bottom w:val="single" w:sz="4" w:space="0" w:color="C0C0C0"/>
              <w:right w:val="single" w:sz="4" w:space="0" w:color="000080"/>
            </w:tcBorders>
            <w:shd w:val="clear" w:color="auto" w:fill="auto"/>
            <w:noWrap/>
            <w:vAlign w:val="center"/>
            <w:hideMark/>
          </w:tcPr>
          <w:p w14:paraId="31B2954A"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23.289,20</w:t>
            </w:r>
          </w:p>
        </w:tc>
        <w:tc>
          <w:tcPr>
            <w:tcW w:w="1462" w:type="dxa"/>
            <w:tcBorders>
              <w:top w:val="nil"/>
              <w:left w:val="nil"/>
              <w:bottom w:val="single" w:sz="4" w:space="0" w:color="C0C0C0"/>
              <w:right w:val="single" w:sz="4" w:space="0" w:color="000080"/>
            </w:tcBorders>
            <w:shd w:val="clear" w:color="auto" w:fill="auto"/>
            <w:noWrap/>
            <w:vAlign w:val="center"/>
            <w:hideMark/>
          </w:tcPr>
          <w:p w14:paraId="2B160416"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466.139,78</w:t>
            </w:r>
          </w:p>
        </w:tc>
        <w:tc>
          <w:tcPr>
            <w:tcW w:w="1574" w:type="dxa"/>
            <w:tcBorders>
              <w:top w:val="nil"/>
              <w:left w:val="nil"/>
              <w:bottom w:val="single" w:sz="4" w:space="0" w:color="C0C0C0"/>
              <w:right w:val="single" w:sz="4" w:space="0" w:color="000000"/>
            </w:tcBorders>
            <w:shd w:val="clear" w:color="auto" w:fill="auto"/>
            <w:noWrap/>
            <w:vAlign w:val="center"/>
            <w:hideMark/>
          </w:tcPr>
          <w:p w14:paraId="06A78F6C"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2.001,5</w:t>
            </w:r>
          </w:p>
        </w:tc>
      </w:tr>
      <w:tr w:rsidR="00A920E6" w:rsidRPr="00A920E6" w14:paraId="4BB89604"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0E9149ED"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4233</w:t>
            </w:r>
          </w:p>
        </w:tc>
        <w:tc>
          <w:tcPr>
            <w:tcW w:w="5157" w:type="dxa"/>
            <w:tcBorders>
              <w:top w:val="nil"/>
              <w:left w:val="nil"/>
              <w:bottom w:val="single" w:sz="4" w:space="0" w:color="C0C0C0"/>
              <w:right w:val="single" w:sz="4" w:space="0" w:color="000080"/>
            </w:tcBorders>
            <w:shd w:val="clear" w:color="auto" w:fill="auto"/>
            <w:vAlign w:val="center"/>
            <w:hideMark/>
          </w:tcPr>
          <w:p w14:paraId="76CDBCCC"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Prijevozna sredstva u pomorskom i riječnom prometu</w:t>
            </w:r>
          </w:p>
        </w:tc>
        <w:tc>
          <w:tcPr>
            <w:tcW w:w="2919" w:type="dxa"/>
            <w:tcBorders>
              <w:top w:val="nil"/>
              <w:left w:val="nil"/>
              <w:bottom w:val="single" w:sz="4" w:space="0" w:color="C0C0C0"/>
              <w:right w:val="single" w:sz="4" w:space="0" w:color="000080"/>
            </w:tcBorders>
            <w:shd w:val="clear" w:color="auto" w:fill="auto"/>
            <w:vAlign w:val="center"/>
            <w:hideMark/>
          </w:tcPr>
          <w:p w14:paraId="4DD0C4B0"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4233</w:t>
            </w:r>
          </w:p>
        </w:tc>
        <w:tc>
          <w:tcPr>
            <w:tcW w:w="1462" w:type="dxa"/>
            <w:tcBorders>
              <w:top w:val="nil"/>
              <w:left w:val="nil"/>
              <w:bottom w:val="single" w:sz="4" w:space="0" w:color="C0C0C0"/>
              <w:right w:val="single" w:sz="4" w:space="0" w:color="000080"/>
            </w:tcBorders>
            <w:shd w:val="clear" w:color="auto" w:fill="auto"/>
            <w:noWrap/>
            <w:vAlign w:val="center"/>
            <w:hideMark/>
          </w:tcPr>
          <w:p w14:paraId="5D16610A"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4.781.635,37</w:t>
            </w:r>
          </w:p>
        </w:tc>
        <w:tc>
          <w:tcPr>
            <w:tcW w:w="1462" w:type="dxa"/>
            <w:tcBorders>
              <w:top w:val="nil"/>
              <w:left w:val="nil"/>
              <w:bottom w:val="single" w:sz="4" w:space="0" w:color="C0C0C0"/>
              <w:right w:val="single" w:sz="4" w:space="0" w:color="000080"/>
            </w:tcBorders>
            <w:shd w:val="clear" w:color="auto" w:fill="auto"/>
            <w:noWrap/>
            <w:vAlign w:val="center"/>
            <w:hideMark/>
          </w:tcPr>
          <w:p w14:paraId="3E9592F3"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12.399.596,55</w:t>
            </w:r>
          </w:p>
        </w:tc>
        <w:tc>
          <w:tcPr>
            <w:tcW w:w="1574" w:type="dxa"/>
            <w:tcBorders>
              <w:top w:val="nil"/>
              <w:left w:val="nil"/>
              <w:bottom w:val="single" w:sz="4" w:space="0" w:color="C0C0C0"/>
              <w:right w:val="single" w:sz="4" w:space="0" w:color="000000"/>
            </w:tcBorders>
            <w:shd w:val="clear" w:color="auto" w:fill="auto"/>
            <w:noWrap/>
            <w:vAlign w:val="center"/>
            <w:hideMark/>
          </w:tcPr>
          <w:p w14:paraId="0B3357B6"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259,3</w:t>
            </w:r>
          </w:p>
        </w:tc>
      </w:tr>
      <w:tr w:rsidR="00A920E6" w:rsidRPr="00A920E6" w14:paraId="779F2C25"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637E4AD8"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426</w:t>
            </w:r>
          </w:p>
        </w:tc>
        <w:tc>
          <w:tcPr>
            <w:tcW w:w="5157" w:type="dxa"/>
            <w:tcBorders>
              <w:top w:val="nil"/>
              <w:left w:val="nil"/>
              <w:bottom w:val="single" w:sz="4" w:space="0" w:color="C0C0C0"/>
              <w:right w:val="single" w:sz="4" w:space="0" w:color="000080"/>
            </w:tcBorders>
            <w:shd w:val="clear" w:color="auto" w:fill="auto"/>
            <w:vAlign w:val="center"/>
            <w:hideMark/>
          </w:tcPr>
          <w:p w14:paraId="7F0A368D"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Nematerijalna proizvedena imovina (šifre 4261 do 4264)</w:t>
            </w:r>
          </w:p>
        </w:tc>
        <w:tc>
          <w:tcPr>
            <w:tcW w:w="2919" w:type="dxa"/>
            <w:tcBorders>
              <w:top w:val="nil"/>
              <w:left w:val="nil"/>
              <w:bottom w:val="single" w:sz="4" w:space="0" w:color="C0C0C0"/>
              <w:right w:val="single" w:sz="4" w:space="0" w:color="000080"/>
            </w:tcBorders>
            <w:shd w:val="clear" w:color="auto" w:fill="auto"/>
            <w:vAlign w:val="center"/>
            <w:hideMark/>
          </w:tcPr>
          <w:p w14:paraId="45DBC99D"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426</w:t>
            </w:r>
          </w:p>
        </w:tc>
        <w:tc>
          <w:tcPr>
            <w:tcW w:w="1462" w:type="dxa"/>
            <w:tcBorders>
              <w:top w:val="nil"/>
              <w:left w:val="nil"/>
              <w:bottom w:val="single" w:sz="4" w:space="0" w:color="C0C0C0"/>
              <w:right w:val="single" w:sz="4" w:space="0" w:color="000080"/>
            </w:tcBorders>
            <w:shd w:val="clear" w:color="auto" w:fill="auto"/>
            <w:noWrap/>
            <w:vAlign w:val="center"/>
            <w:hideMark/>
          </w:tcPr>
          <w:p w14:paraId="1BD278C2"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1.203.046,26</w:t>
            </w:r>
          </w:p>
        </w:tc>
        <w:tc>
          <w:tcPr>
            <w:tcW w:w="1462" w:type="dxa"/>
            <w:tcBorders>
              <w:top w:val="nil"/>
              <w:left w:val="nil"/>
              <w:bottom w:val="single" w:sz="4" w:space="0" w:color="C0C0C0"/>
              <w:right w:val="single" w:sz="4" w:space="0" w:color="000080"/>
            </w:tcBorders>
            <w:shd w:val="clear" w:color="auto" w:fill="auto"/>
            <w:noWrap/>
            <w:vAlign w:val="center"/>
            <w:hideMark/>
          </w:tcPr>
          <w:p w14:paraId="746F7374"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771.212,50</w:t>
            </w:r>
          </w:p>
        </w:tc>
        <w:tc>
          <w:tcPr>
            <w:tcW w:w="1574" w:type="dxa"/>
            <w:tcBorders>
              <w:top w:val="nil"/>
              <w:left w:val="nil"/>
              <w:bottom w:val="single" w:sz="4" w:space="0" w:color="C0C0C0"/>
              <w:right w:val="single" w:sz="4" w:space="0" w:color="000000"/>
            </w:tcBorders>
            <w:shd w:val="clear" w:color="auto" w:fill="auto"/>
            <w:noWrap/>
            <w:vAlign w:val="center"/>
            <w:hideMark/>
          </w:tcPr>
          <w:p w14:paraId="72AD2631"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64,1</w:t>
            </w:r>
          </w:p>
        </w:tc>
      </w:tr>
      <w:tr w:rsidR="00A920E6" w:rsidRPr="00A920E6" w14:paraId="6E5B4F55"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5A718B8D"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4262</w:t>
            </w:r>
          </w:p>
        </w:tc>
        <w:tc>
          <w:tcPr>
            <w:tcW w:w="5157" w:type="dxa"/>
            <w:tcBorders>
              <w:top w:val="nil"/>
              <w:left w:val="nil"/>
              <w:bottom w:val="single" w:sz="4" w:space="0" w:color="C0C0C0"/>
              <w:right w:val="single" w:sz="4" w:space="0" w:color="000080"/>
            </w:tcBorders>
            <w:shd w:val="clear" w:color="auto" w:fill="auto"/>
            <w:vAlign w:val="center"/>
            <w:hideMark/>
          </w:tcPr>
          <w:p w14:paraId="51038CDE"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 xml:space="preserve">Ulaganja u računalne programe </w:t>
            </w:r>
          </w:p>
        </w:tc>
        <w:tc>
          <w:tcPr>
            <w:tcW w:w="2919" w:type="dxa"/>
            <w:tcBorders>
              <w:top w:val="nil"/>
              <w:left w:val="nil"/>
              <w:bottom w:val="single" w:sz="4" w:space="0" w:color="C0C0C0"/>
              <w:right w:val="single" w:sz="4" w:space="0" w:color="000080"/>
            </w:tcBorders>
            <w:shd w:val="clear" w:color="auto" w:fill="auto"/>
            <w:vAlign w:val="center"/>
            <w:hideMark/>
          </w:tcPr>
          <w:p w14:paraId="10400907"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4262</w:t>
            </w:r>
          </w:p>
        </w:tc>
        <w:tc>
          <w:tcPr>
            <w:tcW w:w="1462" w:type="dxa"/>
            <w:tcBorders>
              <w:top w:val="nil"/>
              <w:left w:val="nil"/>
              <w:bottom w:val="single" w:sz="4" w:space="0" w:color="C0C0C0"/>
              <w:right w:val="single" w:sz="4" w:space="0" w:color="000080"/>
            </w:tcBorders>
            <w:shd w:val="clear" w:color="auto" w:fill="auto"/>
            <w:noWrap/>
            <w:vAlign w:val="center"/>
            <w:hideMark/>
          </w:tcPr>
          <w:p w14:paraId="03A705FF"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1.203.046,26</w:t>
            </w:r>
          </w:p>
        </w:tc>
        <w:tc>
          <w:tcPr>
            <w:tcW w:w="1462" w:type="dxa"/>
            <w:tcBorders>
              <w:top w:val="nil"/>
              <w:left w:val="nil"/>
              <w:bottom w:val="single" w:sz="4" w:space="0" w:color="C0C0C0"/>
              <w:right w:val="single" w:sz="4" w:space="0" w:color="000080"/>
            </w:tcBorders>
            <w:shd w:val="clear" w:color="auto" w:fill="auto"/>
            <w:noWrap/>
            <w:vAlign w:val="center"/>
            <w:hideMark/>
          </w:tcPr>
          <w:p w14:paraId="399DC0CF"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771.212,50</w:t>
            </w:r>
          </w:p>
        </w:tc>
        <w:tc>
          <w:tcPr>
            <w:tcW w:w="1574" w:type="dxa"/>
            <w:tcBorders>
              <w:top w:val="nil"/>
              <w:left w:val="nil"/>
              <w:bottom w:val="single" w:sz="4" w:space="0" w:color="C0C0C0"/>
              <w:right w:val="single" w:sz="4" w:space="0" w:color="000000"/>
            </w:tcBorders>
            <w:shd w:val="clear" w:color="auto" w:fill="auto"/>
            <w:noWrap/>
            <w:vAlign w:val="center"/>
            <w:hideMark/>
          </w:tcPr>
          <w:p w14:paraId="73FA8F60"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64,1</w:t>
            </w:r>
          </w:p>
        </w:tc>
      </w:tr>
      <w:tr w:rsidR="00A920E6" w:rsidRPr="00A920E6" w14:paraId="34A76C68"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385B1AFB"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45</w:t>
            </w:r>
          </w:p>
        </w:tc>
        <w:tc>
          <w:tcPr>
            <w:tcW w:w="5157" w:type="dxa"/>
            <w:tcBorders>
              <w:top w:val="nil"/>
              <w:left w:val="nil"/>
              <w:bottom w:val="single" w:sz="4" w:space="0" w:color="C0C0C0"/>
              <w:right w:val="single" w:sz="4" w:space="0" w:color="000080"/>
            </w:tcBorders>
            <w:shd w:val="clear" w:color="auto" w:fill="auto"/>
            <w:vAlign w:val="center"/>
            <w:hideMark/>
          </w:tcPr>
          <w:p w14:paraId="1A26DFA9"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Rashodi za dodatna ulaganja na nefinancijskoj imovini (šifre 451 do 454)</w:t>
            </w:r>
          </w:p>
        </w:tc>
        <w:tc>
          <w:tcPr>
            <w:tcW w:w="2919" w:type="dxa"/>
            <w:tcBorders>
              <w:top w:val="nil"/>
              <w:left w:val="nil"/>
              <w:bottom w:val="single" w:sz="4" w:space="0" w:color="C0C0C0"/>
              <w:right w:val="single" w:sz="4" w:space="0" w:color="000080"/>
            </w:tcBorders>
            <w:shd w:val="clear" w:color="auto" w:fill="auto"/>
            <w:vAlign w:val="center"/>
            <w:hideMark/>
          </w:tcPr>
          <w:p w14:paraId="605F0D04"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45</w:t>
            </w:r>
          </w:p>
        </w:tc>
        <w:tc>
          <w:tcPr>
            <w:tcW w:w="1462" w:type="dxa"/>
            <w:tcBorders>
              <w:top w:val="nil"/>
              <w:left w:val="nil"/>
              <w:bottom w:val="single" w:sz="4" w:space="0" w:color="C0C0C0"/>
              <w:right w:val="single" w:sz="4" w:space="0" w:color="000080"/>
            </w:tcBorders>
            <w:shd w:val="clear" w:color="auto" w:fill="auto"/>
            <w:noWrap/>
            <w:vAlign w:val="center"/>
            <w:hideMark/>
          </w:tcPr>
          <w:p w14:paraId="39833C41"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287.776,60</w:t>
            </w:r>
          </w:p>
        </w:tc>
        <w:tc>
          <w:tcPr>
            <w:tcW w:w="1462" w:type="dxa"/>
            <w:tcBorders>
              <w:top w:val="nil"/>
              <w:left w:val="nil"/>
              <w:bottom w:val="single" w:sz="4" w:space="0" w:color="C0C0C0"/>
              <w:right w:val="single" w:sz="4" w:space="0" w:color="000080"/>
            </w:tcBorders>
            <w:shd w:val="clear" w:color="auto" w:fill="auto"/>
            <w:noWrap/>
            <w:vAlign w:val="center"/>
            <w:hideMark/>
          </w:tcPr>
          <w:p w14:paraId="7AAB4F5E"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537.650,50</w:t>
            </w:r>
          </w:p>
        </w:tc>
        <w:tc>
          <w:tcPr>
            <w:tcW w:w="1574" w:type="dxa"/>
            <w:tcBorders>
              <w:top w:val="nil"/>
              <w:left w:val="nil"/>
              <w:bottom w:val="single" w:sz="4" w:space="0" w:color="C0C0C0"/>
              <w:right w:val="single" w:sz="4" w:space="0" w:color="000000"/>
            </w:tcBorders>
            <w:shd w:val="clear" w:color="auto" w:fill="auto"/>
            <w:noWrap/>
            <w:vAlign w:val="center"/>
            <w:hideMark/>
          </w:tcPr>
          <w:p w14:paraId="1910CD79"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186,8</w:t>
            </w:r>
          </w:p>
        </w:tc>
      </w:tr>
      <w:tr w:rsidR="00A920E6" w:rsidRPr="00A920E6" w14:paraId="13DC0EC1"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15F69645"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451</w:t>
            </w:r>
          </w:p>
        </w:tc>
        <w:tc>
          <w:tcPr>
            <w:tcW w:w="5157" w:type="dxa"/>
            <w:tcBorders>
              <w:top w:val="nil"/>
              <w:left w:val="nil"/>
              <w:bottom w:val="single" w:sz="4" w:space="0" w:color="C0C0C0"/>
              <w:right w:val="single" w:sz="4" w:space="0" w:color="000080"/>
            </w:tcBorders>
            <w:shd w:val="clear" w:color="auto" w:fill="auto"/>
            <w:vAlign w:val="center"/>
            <w:hideMark/>
          </w:tcPr>
          <w:p w14:paraId="2FEF894B"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Dodatna ulaganja na građevinskim objektima</w:t>
            </w:r>
          </w:p>
        </w:tc>
        <w:tc>
          <w:tcPr>
            <w:tcW w:w="2919" w:type="dxa"/>
            <w:tcBorders>
              <w:top w:val="nil"/>
              <w:left w:val="nil"/>
              <w:bottom w:val="single" w:sz="4" w:space="0" w:color="C0C0C0"/>
              <w:right w:val="single" w:sz="4" w:space="0" w:color="000080"/>
            </w:tcBorders>
            <w:shd w:val="clear" w:color="auto" w:fill="auto"/>
            <w:vAlign w:val="center"/>
            <w:hideMark/>
          </w:tcPr>
          <w:p w14:paraId="1372CCE1"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451</w:t>
            </w:r>
          </w:p>
        </w:tc>
        <w:tc>
          <w:tcPr>
            <w:tcW w:w="1462" w:type="dxa"/>
            <w:tcBorders>
              <w:top w:val="nil"/>
              <w:left w:val="nil"/>
              <w:bottom w:val="single" w:sz="4" w:space="0" w:color="C0C0C0"/>
              <w:right w:val="single" w:sz="4" w:space="0" w:color="000080"/>
            </w:tcBorders>
            <w:shd w:val="clear" w:color="auto" w:fill="auto"/>
            <w:noWrap/>
            <w:vAlign w:val="center"/>
            <w:hideMark/>
          </w:tcPr>
          <w:p w14:paraId="362A83EB"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276.027,50</w:t>
            </w:r>
          </w:p>
        </w:tc>
        <w:tc>
          <w:tcPr>
            <w:tcW w:w="1462" w:type="dxa"/>
            <w:tcBorders>
              <w:top w:val="nil"/>
              <w:left w:val="nil"/>
              <w:bottom w:val="single" w:sz="4" w:space="0" w:color="C0C0C0"/>
              <w:right w:val="single" w:sz="4" w:space="0" w:color="000080"/>
            </w:tcBorders>
            <w:shd w:val="clear" w:color="auto" w:fill="auto"/>
            <w:noWrap/>
            <w:vAlign w:val="center"/>
            <w:hideMark/>
          </w:tcPr>
          <w:p w14:paraId="1813A058"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317.406,50</w:t>
            </w:r>
          </w:p>
        </w:tc>
        <w:tc>
          <w:tcPr>
            <w:tcW w:w="1574" w:type="dxa"/>
            <w:tcBorders>
              <w:top w:val="nil"/>
              <w:left w:val="nil"/>
              <w:bottom w:val="single" w:sz="4" w:space="0" w:color="C0C0C0"/>
              <w:right w:val="single" w:sz="4" w:space="0" w:color="000000"/>
            </w:tcBorders>
            <w:shd w:val="clear" w:color="auto" w:fill="auto"/>
            <w:noWrap/>
            <w:vAlign w:val="center"/>
            <w:hideMark/>
          </w:tcPr>
          <w:p w14:paraId="43FB1EDE"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115,0</w:t>
            </w:r>
          </w:p>
        </w:tc>
      </w:tr>
      <w:tr w:rsidR="00A920E6" w:rsidRPr="00A920E6" w14:paraId="6807286F"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510A9973"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453</w:t>
            </w:r>
          </w:p>
        </w:tc>
        <w:tc>
          <w:tcPr>
            <w:tcW w:w="5157" w:type="dxa"/>
            <w:tcBorders>
              <w:top w:val="nil"/>
              <w:left w:val="nil"/>
              <w:bottom w:val="single" w:sz="4" w:space="0" w:color="C0C0C0"/>
              <w:right w:val="single" w:sz="4" w:space="0" w:color="000080"/>
            </w:tcBorders>
            <w:shd w:val="clear" w:color="auto" w:fill="auto"/>
            <w:vAlign w:val="center"/>
            <w:hideMark/>
          </w:tcPr>
          <w:p w14:paraId="1EADAA18"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Dodatna ulaganja na prijevoznim sredstvima</w:t>
            </w:r>
          </w:p>
        </w:tc>
        <w:tc>
          <w:tcPr>
            <w:tcW w:w="2919" w:type="dxa"/>
            <w:tcBorders>
              <w:top w:val="nil"/>
              <w:left w:val="nil"/>
              <w:bottom w:val="single" w:sz="4" w:space="0" w:color="C0C0C0"/>
              <w:right w:val="single" w:sz="4" w:space="0" w:color="000080"/>
            </w:tcBorders>
            <w:shd w:val="clear" w:color="auto" w:fill="auto"/>
            <w:vAlign w:val="center"/>
            <w:hideMark/>
          </w:tcPr>
          <w:p w14:paraId="076321FB"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453</w:t>
            </w:r>
          </w:p>
        </w:tc>
        <w:tc>
          <w:tcPr>
            <w:tcW w:w="1462" w:type="dxa"/>
            <w:tcBorders>
              <w:top w:val="nil"/>
              <w:left w:val="nil"/>
              <w:bottom w:val="single" w:sz="4" w:space="0" w:color="C0C0C0"/>
              <w:right w:val="single" w:sz="4" w:space="0" w:color="000080"/>
            </w:tcBorders>
            <w:shd w:val="clear" w:color="auto" w:fill="auto"/>
            <w:noWrap/>
            <w:vAlign w:val="center"/>
            <w:hideMark/>
          </w:tcPr>
          <w:p w14:paraId="011B43B3"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11.749,10</w:t>
            </w:r>
          </w:p>
        </w:tc>
        <w:tc>
          <w:tcPr>
            <w:tcW w:w="1462" w:type="dxa"/>
            <w:tcBorders>
              <w:top w:val="nil"/>
              <w:left w:val="nil"/>
              <w:bottom w:val="single" w:sz="4" w:space="0" w:color="C0C0C0"/>
              <w:right w:val="single" w:sz="4" w:space="0" w:color="000080"/>
            </w:tcBorders>
            <w:shd w:val="clear" w:color="auto" w:fill="auto"/>
            <w:noWrap/>
            <w:vAlign w:val="center"/>
            <w:hideMark/>
          </w:tcPr>
          <w:p w14:paraId="0E00CF45"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220.244,00</w:t>
            </w:r>
          </w:p>
        </w:tc>
        <w:tc>
          <w:tcPr>
            <w:tcW w:w="1574" w:type="dxa"/>
            <w:tcBorders>
              <w:top w:val="nil"/>
              <w:left w:val="nil"/>
              <w:bottom w:val="single" w:sz="4" w:space="0" w:color="C0C0C0"/>
              <w:right w:val="single" w:sz="4" w:space="0" w:color="000000"/>
            </w:tcBorders>
            <w:shd w:val="clear" w:color="auto" w:fill="auto"/>
            <w:noWrap/>
            <w:vAlign w:val="center"/>
            <w:hideMark/>
          </w:tcPr>
          <w:p w14:paraId="501C481C"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1.874,6</w:t>
            </w:r>
          </w:p>
        </w:tc>
      </w:tr>
      <w:tr w:rsidR="00A920E6" w:rsidRPr="00A920E6" w14:paraId="06092C4B"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48A3D5F4"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 xml:space="preserve"> </w:t>
            </w:r>
          </w:p>
        </w:tc>
        <w:tc>
          <w:tcPr>
            <w:tcW w:w="5157" w:type="dxa"/>
            <w:tcBorders>
              <w:top w:val="nil"/>
              <w:left w:val="nil"/>
              <w:bottom w:val="single" w:sz="4" w:space="0" w:color="C0C0C0"/>
              <w:right w:val="single" w:sz="4" w:space="0" w:color="000080"/>
            </w:tcBorders>
            <w:shd w:val="clear" w:color="auto" w:fill="auto"/>
            <w:vAlign w:val="center"/>
            <w:hideMark/>
          </w:tcPr>
          <w:p w14:paraId="5053DDB0"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VIŠAK PRIHODA OD NEFINANCIJSKE IMOVINE (šifre 7-4)</w:t>
            </w:r>
          </w:p>
        </w:tc>
        <w:tc>
          <w:tcPr>
            <w:tcW w:w="2919" w:type="dxa"/>
            <w:tcBorders>
              <w:top w:val="nil"/>
              <w:left w:val="nil"/>
              <w:bottom w:val="single" w:sz="4" w:space="0" w:color="C0C0C0"/>
              <w:right w:val="single" w:sz="4" w:space="0" w:color="000080"/>
            </w:tcBorders>
            <w:shd w:val="clear" w:color="auto" w:fill="auto"/>
            <w:vAlign w:val="center"/>
            <w:hideMark/>
          </w:tcPr>
          <w:p w14:paraId="3C6C7FEE"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X002</w:t>
            </w:r>
          </w:p>
        </w:tc>
        <w:tc>
          <w:tcPr>
            <w:tcW w:w="1462" w:type="dxa"/>
            <w:tcBorders>
              <w:top w:val="nil"/>
              <w:left w:val="nil"/>
              <w:bottom w:val="single" w:sz="4" w:space="0" w:color="C0C0C0"/>
              <w:right w:val="single" w:sz="4" w:space="0" w:color="000080"/>
            </w:tcBorders>
            <w:shd w:val="clear" w:color="auto" w:fill="auto"/>
            <w:noWrap/>
            <w:vAlign w:val="center"/>
            <w:hideMark/>
          </w:tcPr>
          <w:p w14:paraId="2974A2E2"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7A996E45"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6B2859C8"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016376EF"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28F4FC9C"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lastRenderedPageBreak/>
              <w:t xml:space="preserve"> </w:t>
            </w:r>
          </w:p>
        </w:tc>
        <w:tc>
          <w:tcPr>
            <w:tcW w:w="5157" w:type="dxa"/>
            <w:tcBorders>
              <w:top w:val="nil"/>
              <w:left w:val="nil"/>
              <w:bottom w:val="single" w:sz="4" w:space="0" w:color="C0C0C0"/>
              <w:right w:val="single" w:sz="4" w:space="0" w:color="000080"/>
            </w:tcBorders>
            <w:shd w:val="clear" w:color="auto" w:fill="auto"/>
            <w:vAlign w:val="center"/>
            <w:hideMark/>
          </w:tcPr>
          <w:p w14:paraId="598BAB76"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MANJAK PRIHODA OD NEFINANCIJSKE IMOVINE (šifre 4-7)</w:t>
            </w:r>
          </w:p>
        </w:tc>
        <w:tc>
          <w:tcPr>
            <w:tcW w:w="2919" w:type="dxa"/>
            <w:tcBorders>
              <w:top w:val="nil"/>
              <w:left w:val="nil"/>
              <w:bottom w:val="single" w:sz="4" w:space="0" w:color="C0C0C0"/>
              <w:right w:val="single" w:sz="4" w:space="0" w:color="000080"/>
            </w:tcBorders>
            <w:shd w:val="clear" w:color="auto" w:fill="auto"/>
            <w:vAlign w:val="center"/>
            <w:hideMark/>
          </w:tcPr>
          <w:p w14:paraId="5E3DAFF2"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Y002</w:t>
            </w:r>
          </w:p>
        </w:tc>
        <w:tc>
          <w:tcPr>
            <w:tcW w:w="1462" w:type="dxa"/>
            <w:tcBorders>
              <w:top w:val="nil"/>
              <w:left w:val="nil"/>
              <w:bottom w:val="single" w:sz="4" w:space="0" w:color="C0C0C0"/>
              <w:right w:val="single" w:sz="4" w:space="0" w:color="000080"/>
            </w:tcBorders>
            <w:shd w:val="clear" w:color="auto" w:fill="auto"/>
            <w:noWrap/>
            <w:vAlign w:val="center"/>
            <w:hideMark/>
          </w:tcPr>
          <w:p w14:paraId="7F93CE32"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10.062.397,49</w:t>
            </w:r>
          </w:p>
        </w:tc>
        <w:tc>
          <w:tcPr>
            <w:tcW w:w="1462" w:type="dxa"/>
            <w:tcBorders>
              <w:top w:val="nil"/>
              <w:left w:val="nil"/>
              <w:bottom w:val="single" w:sz="4" w:space="0" w:color="C0C0C0"/>
              <w:right w:val="single" w:sz="4" w:space="0" w:color="000080"/>
            </w:tcBorders>
            <w:shd w:val="clear" w:color="auto" w:fill="auto"/>
            <w:noWrap/>
            <w:vAlign w:val="center"/>
            <w:hideMark/>
          </w:tcPr>
          <w:p w14:paraId="645A5AF5"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18.287.862,14</w:t>
            </w:r>
          </w:p>
        </w:tc>
        <w:tc>
          <w:tcPr>
            <w:tcW w:w="1574" w:type="dxa"/>
            <w:tcBorders>
              <w:top w:val="nil"/>
              <w:left w:val="nil"/>
              <w:bottom w:val="single" w:sz="4" w:space="0" w:color="C0C0C0"/>
              <w:right w:val="single" w:sz="4" w:space="0" w:color="000000"/>
            </w:tcBorders>
            <w:shd w:val="clear" w:color="auto" w:fill="auto"/>
            <w:noWrap/>
            <w:vAlign w:val="center"/>
            <w:hideMark/>
          </w:tcPr>
          <w:p w14:paraId="79606083"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181,7</w:t>
            </w:r>
          </w:p>
        </w:tc>
      </w:tr>
      <w:tr w:rsidR="00A920E6" w:rsidRPr="00A920E6" w14:paraId="7D10BE0C"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5FD64D52"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92212</w:t>
            </w:r>
          </w:p>
        </w:tc>
        <w:tc>
          <w:tcPr>
            <w:tcW w:w="5157" w:type="dxa"/>
            <w:tcBorders>
              <w:top w:val="nil"/>
              <w:left w:val="nil"/>
              <w:bottom w:val="single" w:sz="4" w:space="0" w:color="C0C0C0"/>
              <w:right w:val="single" w:sz="4" w:space="0" w:color="000080"/>
            </w:tcBorders>
            <w:shd w:val="clear" w:color="auto" w:fill="auto"/>
            <w:vAlign w:val="center"/>
            <w:hideMark/>
          </w:tcPr>
          <w:p w14:paraId="3B6119DC"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 xml:space="preserve">Višak prihoda od nefinancijske imovine - preneseni </w:t>
            </w:r>
          </w:p>
        </w:tc>
        <w:tc>
          <w:tcPr>
            <w:tcW w:w="2919" w:type="dxa"/>
            <w:tcBorders>
              <w:top w:val="nil"/>
              <w:left w:val="nil"/>
              <w:bottom w:val="single" w:sz="4" w:space="0" w:color="C0C0C0"/>
              <w:right w:val="single" w:sz="4" w:space="0" w:color="000080"/>
            </w:tcBorders>
            <w:shd w:val="clear" w:color="auto" w:fill="auto"/>
            <w:vAlign w:val="center"/>
            <w:hideMark/>
          </w:tcPr>
          <w:p w14:paraId="1729CE69"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92212</w:t>
            </w:r>
          </w:p>
        </w:tc>
        <w:tc>
          <w:tcPr>
            <w:tcW w:w="1462" w:type="dxa"/>
            <w:tcBorders>
              <w:top w:val="nil"/>
              <w:left w:val="nil"/>
              <w:bottom w:val="single" w:sz="4" w:space="0" w:color="C0C0C0"/>
              <w:right w:val="single" w:sz="4" w:space="0" w:color="000080"/>
            </w:tcBorders>
            <w:shd w:val="clear" w:color="auto" w:fill="auto"/>
            <w:noWrap/>
            <w:vAlign w:val="center"/>
            <w:hideMark/>
          </w:tcPr>
          <w:p w14:paraId="39E0628B"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70314483"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2D1E4383"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78FECD8F"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0657BAD0"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92222</w:t>
            </w:r>
          </w:p>
        </w:tc>
        <w:tc>
          <w:tcPr>
            <w:tcW w:w="5157" w:type="dxa"/>
            <w:tcBorders>
              <w:top w:val="nil"/>
              <w:left w:val="nil"/>
              <w:bottom w:val="single" w:sz="4" w:space="0" w:color="C0C0C0"/>
              <w:right w:val="single" w:sz="4" w:space="0" w:color="000080"/>
            </w:tcBorders>
            <w:shd w:val="clear" w:color="auto" w:fill="auto"/>
            <w:vAlign w:val="center"/>
            <w:hideMark/>
          </w:tcPr>
          <w:p w14:paraId="6EA67921"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 xml:space="preserve">Manjak prihoda od nefinancijske imovine - preneseni </w:t>
            </w:r>
          </w:p>
        </w:tc>
        <w:tc>
          <w:tcPr>
            <w:tcW w:w="2919" w:type="dxa"/>
            <w:tcBorders>
              <w:top w:val="nil"/>
              <w:left w:val="nil"/>
              <w:bottom w:val="single" w:sz="4" w:space="0" w:color="C0C0C0"/>
              <w:right w:val="single" w:sz="4" w:space="0" w:color="000080"/>
            </w:tcBorders>
            <w:shd w:val="clear" w:color="auto" w:fill="auto"/>
            <w:vAlign w:val="center"/>
            <w:hideMark/>
          </w:tcPr>
          <w:p w14:paraId="0381D057"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92222</w:t>
            </w:r>
          </w:p>
        </w:tc>
        <w:tc>
          <w:tcPr>
            <w:tcW w:w="1462" w:type="dxa"/>
            <w:tcBorders>
              <w:top w:val="nil"/>
              <w:left w:val="nil"/>
              <w:bottom w:val="single" w:sz="4" w:space="0" w:color="C0C0C0"/>
              <w:right w:val="single" w:sz="4" w:space="0" w:color="000080"/>
            </w:tcBorders>
            <w:shd w:val="clear" w:color="auto" w:fill="auto"/>
            <w:noWrap/>
            <w:vAlign w:val="center"/>
            <w:hideMark/>
          </w:tcPr>
          <w:p w14:paraId="26225C12"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2.689.755,01</w:t>
            </w:r>
          </w:p>
        </w:tc>
        <w:tc>
          <w:tcPr>
            <w:tcW w:w="1462" w:type="dxa"/>
            <w:tcBorders>
              <w:top w:val="nil"/>
              <w:left w:val="nil"/>
              <w:bottom w:val="single" w:sz="4" w:space="0" w:color="C0C0C0"/>
              <w:right w:val="single" w:sz="4" w:space="0" w:color="000080"/>
            </w:tcBorders>
            <w:shd w:val="clear" w:color="auto" w:fill="auto"/>
            <w:noWrap/>
            <w:vAlign w:val="center"/>
            <w:hideMark/>
          </w:tcPr>
          <w:p w14:paraId="0F32D670"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498.180,79</w:t>
            </w:r>
          </w:p>
        </w:tc>
        <w:tc>
          <w:tcPr>
            <w:tcW w:w="1574" w:type="dxa"/>
            <w:tcBorders>
              <w:top w:val="nil"/>
              <w:left w:val="nil"/>
              <w:bottom w:val="single" w:sz="4" w:space="0" w:color="C0C0C0"/>
              <w:right w:val="single" w:sz="4" w:space="0" w:color="000000"/>
            </w:tcBorders>
            <w:shd w:val="clear" w:color="auto" w:fill="auto"/>
            <w:noWrap/>
            <w:vAlign w:val="center"/>
            <w:hideMark/>
          </w:tcPr>
          <w:p w14:paraId="2C594D7F"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18,5</w:t>
            </w:r>
          </w:p>
        </w:tc>
      </w:tr>
      <w:tr w:rsidR="00A920E6" w:rsidRPr="00A920E6" w14:paraId="3FDBA396"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6220F1A4"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97</w:t>
            </w:r>
          </w:p>
        </w:tc>
        <w:tc>
          <w:tcPr>
            <w:tcW w:w="5157" w:type="dxa"/>
            <w:tcBorders>
              <w:top w:val="nil"/>
              <w:left w:val="nil"/>
              <w:bottom w:val="single" w:sz="4" w:space="0" w:color="C0C0C0"/>
              <w:right w:val="single" w:sz="4" w:space="0" w:color="000080"/>
            </w:tcBorders>
            <w:shd w:val="clear" w:color="auto" w:fill="auto"/>
            <w:vAlign w:val="center"/>
            <w:hideMark/>
          </w:tcPr>
          <w:p w14:paraId="24E302D0" w14:textId="79B3A093"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 xml:space="preserve">Obračunati prihodi od prodaje nefinancijske imovine </w:t>
            </w:r>
            <w:r w:rsidR="00086FB4">
              <w:rPr>
                <w:rFonts w:ascii="Arial" w:hAnsi="Arial" w:cs="Arial"/>
                <w:color w:val="000000"/>
                <w:sz w:val="18"/>
                <w:szCs w:val="18"/>
              </w:rPr>
              <w:t>–</w:t>
            </w:r>
            <w:r w:rsidRPr="00A920E6">
              <w:rPr>
                <w:rFonts w:ascii="Arial" w:hAnsi="Arial" w:cs="Arial"/>
                <w:color w:val="000000"/>
                <w:sz w:val="18"/>
                <w:szCs w:val="18"/>
              </w:rPr>
              <w:t xml:space="preserve"> nenaplaćeni</w:t>
            </w:r>
          </w:p>
        </w:tc>
        <w:tc>
          <w:tcPr>
            <w:tcW w:w="2919" w:type="dxa"/>
            <w:tcBorders>
              <w:top w:val="nil"/>
              <w:left w:val="nil"/>
              <w:bottom w:val="single" w:sz="4" w:space="0" w:color="C0C0C0"/>
              <w:right w:val="single" w:sz="4" w:space="0" w:color="000080"/>
            </w:tcBorders>
            <w:shd w:val="clear" w:color="auto" w:fill="auto"/>
            <w:vAlign w:val="center"/>
            <w:hideMark/>
          </w:tcPr>
          <w:p w14:paraId="33EF9E0F"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97</w:t>
            </w:r>
          </w:p>
        </w:tc>
        <w:tc>
          <w:tcPr>
            <w:tcW w:w="1462" w:type="dxa"/>
            <w:tcBorders>
              <w:top w:val="nil"/>
              <w:left w:val="nil"/>
              <w:bottom w:val="single" w:sz="4" w:space="0" w:color="C0C0C0"/>
              <w:right w:val="single" w:sz="4" w:space="0" w:color="000080"/>
            </w:tcBorders>
            <w:shd w:val="clear" w:color="auto" w:fill="auto"/>
            <w:noWrap/>
            <w:vAlign w:val="center"/>
            <w:hideMark/>
          </w:tcPr>
          <w:p w14:paraId="0A8F7DA5"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3DD3CE66"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01A20663"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47FBD47B"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681F7DFE"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 xml:space="preserve"> </w:t>
            </w:r>
          </w:p>
        </w:tc>
        <w:tc>
          <w:tcPr>
            <w:tcW w:w="5157" w:type="dxa"/>
            <w:tcBorders>
              <w:top w:val="nil"/>
              <w:left w:val="nil"/>
              <w:bottom w:val="single" w:sz="4" w:space="0" w:color="C0C0C0"/>
              <w:right w:val="single" w:sz="4" w:space="0" w:color="000080"/>
            </w:tcBorders>
            <w:shd w:val="clear" w:color="auto" w:fill="auto"/>
            <w:vAlign w:val="center"/>
            <w:hideMark/>
          </w:tcPr>
          <w:p w14:paraId="1B31700A"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UKUPNI PRIHODI (šifre 6+7)</w:t>
            </w:r>
          </w:p>
        </w:tc>
        <w:tc>
          <w:tcPr>
            <w:tcW w:w="2919" w:type="dxa"/>
            <w:tcBorders>
              <w:top w:val="nil"/>
              <w:left w:val="nil"/>
              <w:bottom w:val="single" w:sz="4" w:space="0" w:color="C0C0C0"/>
              <w:right w:val="single" w:sz="4" w:space="0" w:color="000080"/>
            </w:tcBorders>
            <w:shd w:val="clear" w:color="auto" w:fill="auto"/>
            <w:vAlign w:val="center"/>
            <w:hideMark/>
          </w:tcPr>
          <w:p w14:paraId="52A3DF49"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X067</w:t>
            </w:r>
          </w:p>
        </w:tc>
        <w:tc>
          <w:tcPr>
            <w:tcW w:w="1462" w:type="dxa"/>
            <w:tcBorders>
              <w:top w:val="nil"/>
              <w:left w:val="nil"/>
              <w:bottom w:val="single" w:sz="4" w:space="0" w:color="C0C0C0"/>
              <w:right w:val="single" w:sz="4" w:space="0" w:color="000080"/>
            </w:tcBorders>
            <w:shd w:val="clear" w:color="auto" w:fill="auto"/>
            <w:noWrap/>
            <w:vAlign w:val="center"/>
            <w:hideMark/>
          </w:tcPr>
          <w:p w14:paraId="73B9E170"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1.127.427.288,88</w:t>
            </w:r>
          </w:p>
        </w:tc>
        <w:tc>
          <w:tcPr>
            <w:tcW w:w="1462" w:type="dxa"/>
            <w:tcBorders>
              <w:top w:val="nil"/>
              <w:left w:val="nil"/>
              <w:bottom w:val="single" w:sz="4" w:space="0" w:color="C0C0C0"/>
              <w:right w:val="single" w:sz="4" w:space="0" w:color="000080"/>
            </w:tcBorders>
            <w:shd w:val="clear" w:color="auto" w:fill="auto"/>
            <w:noWrap/>
            <w:vAlign w:val="center"/>
            <w:hideMark/>
          </w:tcPr>
          <w:p w14:paraId="3D0A716F"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1.276.210.976,05</w:t>
            </w:r>
          </w:p>
        </w:tc>
        <w:tc>
          <w:tcPr>
            <w:tcW w:w="1574" w:type="dxa"/>
            <w:tcBorders>
              <w:top w:val="nil"/>
              <w:left w:val="nil"/>
              <w:bottom w:val="single" w:sz="4" w:space="0" w:color="C0C0C0"/>
              <w:right w:val="single" w:sz="4" w:space="0" w:color="000000"/>
            </w:tcBorders>
            <w:shd w:val="clear" w:color="auto" w:fill="auto"/>
            <w:noWrap/>
            <w:vAlign w:val="center"/>
            <w:hideMark/>
          </w:tcPr>
          <w:p w14:paraId="54AE90F4"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113,2</w:t>
            </w:r>
          </w:p>
        </w:tc>
      </w:tr>
      <w:tr w:rsidR="00A920E6" w:rsidRPr="00A920E6" w14:paraId="1EE1D2D1"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2313457B"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 xml:space="preserve"> </w:t>
            </w:r>
          </w:p>
        </w:tc>
        <w:tc>
          <w:tcPr>
            <w:tcW w:w="5157" w:type="dxa"/>
            <w:tcBorders>
              <w:top w:val="nil"/>
              <w:left w:val="nil"/>
              <w:bottom w:val="single" w:sz="4" w:space="0" w:color="C0C0C0"/>
              <w:right w:val="single" w:sz="4" w:space="0" w:color="000080"/>
            </w:tcBorders>
            <w:shd w:val="clear" w:color="auto" w:fill="auto"/>
            <w:vAlign w:val="center"/>
            <w:hideMark/>
          </w:tcPr>
          <w:p w14:paraId="355D4E82"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UKUPNI RASHODI (šifre Z005+4)</w:t>
            </w:r>
          </w:p>
        </w:tc>
        <w:tc>
          <w:tcPr>
            <w:tcW w:w="2919" w:type="dxa"/>
            <w:tcBorders>
              <w:top w:val="nil"/>
              <w:left w:val="nil"/>
              <w:bottom w:val="single" w:sz="4" w:space="0" w:color="C0C0C0"/>
              <w:right w:val="single" w:sz="4" w:space="0" w:color="000080"/>
            </w:tcBorders>
            <w:shd w:val="clear" w:color="auto" w:fill="auto"/>
            <w:vAlign w:val="center"/>
            <w:hideMark/>
          </w:tcPr>
          <w:p w14:paraId="5799AE5C"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Y034</w:t>
            </w:r>
          </w:p>
        </w:tc>
        <w:tc>
          <w:tcPr>
            <w:tcW w:w="1462" w:type="dxa"/>
            <w:tcBorders>
              <w:top w:val="nil"/>
              <w:left w:val="nil"/>
              <w:bottom w:val="single" w:sz="4" w:space="0" w:color="C0C0C0"/>
              <w:right w:val="single" w:sz="4" w:space="0" w:color="000080"/>
            </w:tcBorders>
            <w:shd w:val="clear" w:color="auto" w:fill="auto"/>
            <w:noWrap/>
            <w:vAlign w:val="center"/>
            <w:hideMark/>
          </w:tcPr>
          <w:p w14:paraId="3DC2F728"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1.226.866.754,32</w:t>
            </w:r>
          </w:p>
        </w:tc>
        <w:tc>
          <w:tcPr>
            <w:tcW w:w="1462" w:type="dxa"/>
            <w:tcBorders>
              <w:top w:val="nil"/>
              <w:left w:val="nil"/>
              <w:bottom w:val="single" w:sz="4" w:space="0" w:color="C0C0C0"/>
              <w:right w:val="single" w:sz="4" w:space="0" w:color="000080"/>
            </w:tcBorders>
            <w:shd w:val="clear" w:color="auto" w:fill="auto"/>
            <w:noWrap/>
            <w:vAlign w:val="center"/>
            <w:hideMark/>
          </w:tcPr>
          <w:p w14:paraId="7B909D68"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1.387.008.271,71</w:t>
            </w:r>
          </w:p>
        </w:tc>
        <w:tc>
          <w:tcPr>
            <w:tcW w:w="1574" w:type="dxa"/>
            <w:tcBorders>
              <w:top w:val="nil"/>
              <w:left w:val="nil"/>
              <w:bottom w:val="single" w:sz="4" w:space="0" w:color="C0C0C0"/>
              <w:right w:val="single" w:sz="4" w:space="0" w:color="000000"/>
            </w:tcBorders>
            <w:shd w:val="clear" w:color="auto" w:fill="auto"/>
            <w:noWrap/>
            <w:vAlign w:val="center"/>
            <w:hideMark/>
          </w:tcPr>
          <w:p w14:paraId="75F3A3DA"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113,1</w:t>
            </w:r>
          </w:p>
        </w:tc>
      </w:tr>
      <w:tr w:rsidR="00A920E6" w:rsidRPr="00A920E6" w14:paraId="1EAD79ED"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58614FB3"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 xml:space="preserve"> </w:t>
            </w:r>
          </w:p>
        </w:tc>
        <w:tc>
          <w:tcPr>
            <w:tcW w:w="5157" w:type="dxa"/>
            <w:tcBorders>
              <w:top w:val="nil"/>
              <w:left w:val="nil"/>
              <w:bottom w:val="single" w:sz="4" w:space="0" w:color="C0C0C0"/>
              <w:right w:val="single" w:sz="4" w:space="0" w:color="000080"/>
            </w:tcBorders>
            <w:shd w:val="clear" w:color="auto" w:fill="auto"/>
            <w:vAlign w:val="center"/>
            <w:hideMark/>
          </w:tcPr>
          <w:p w14:paraId="283B7393"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UKUPAN VIŠAK PRIHODA (šifre X067-Y034)</w:t>
            </w:r>
          </w:p>
        </w:tc>
        <w:tc>
          <w:tcPr>
            <w:tcW w:w="2919" w:type="dxa"/>
            <w:tcBorders>
              <w:top w:val="nil"/>
              <w:left w:val="nil"/>
              <w:bottom w:val="single" w:sz="4" w:space="0" w:color="C0C0C0"/>
              <w:right w:val="single" w:sz="4" w:space="0" w:color="000080"/>
            </w:tcBorders>
            <w:shd w:val="clear" w:color="auto" w:fill="auto"/>
            <w:vAlign w:val="center"/>
            <w:hideMark/>
          </w:tcPr>
          <w:p w14:paraId="0BCD9750"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X004</w:t>
            </w:r>
          </w:p>
        </w:tc>
        <w:tc>
          <w:tcPr>
            <w:tcW w:w="1462" w:type="dxa"/>
            <w:tcBorders>
              <w:top w:val="nil"/>
              <w:left w:val="nil"/>
              <w:bottom w:val="single" w:sz="4" w:space="0" w:color="C0C0C0"/>
              <w:right w:val="single" w:sz="4" w:space="0" w:color="000080"/>
            </w:tcBorders>
            <w:shd w:val="clear" w:color="auto" w:fill="auto"/>
            <w:noWrap/>
            <w:vAlign w:val="center"/>
            <w:hideMark/>
          </w:tcPr>
          <w:p w14:paraId="6932816C"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519BF043"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665D26FC"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29185F75"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002B2D8D"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 xml:space="preserve"> </w:t>
            </w:r>
          </w:p>
        </w:tc>
        <w:tc>
          <w:tcPr>
            <w:tcW w:w="5157" w:type="dxa"/>
            <w:tcBorders>
              <w:top w:val="nil"/>
              <w:left w:val="nil"/>
              <w:bottom w:val="single" w:sz="4" w:space="0" w:color="C0C0C0"/>
              <w:right w:val="single" w:sz="4" w:space="0" w:color="000080"/>
            </w:tcBorders>
            <w:shd w:val="clear" w:color="auto" w:fill="auto"/>
            <w:vAlign w:val="center"/>
            <w:hideMark/>
          </w:tcPr>
          <w:p w14:paraId="137F3365"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UKUPAN MANJAK PRIHODA (šifre Y034-X067)</w:t>
            </w:r>
          </w:p>
        </w:tc>
        <w:tc>
          <w:tcPr>
            <w:tcW w:w="2919" w:type="dxa"/>
            <w:tcBorders>
              <w:top w:val="nil"/>
              <w:left w:val="nil"/>
              <w:bottom w:val="single" w:sz="4" w:space="0" w:color="C0C0C0"/>
              <w:right w:val="single" w:sz="4" w:space="0" w:color="000080"/>
            </w:tcBorders>
            <w:shd w:val="clear" w:color="auto" w:fill="auto"/>
            <w:vAlign w:val="center"/>
            <w:hideMark/>
          </w:tcPr>
          <w:p w14:paraId="11E373E0"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Y004</w:t>
            </w:r>
          </w:p>
        </w:tc>
        <w:tc>
          <w:tcPr>
            <w:tcW w:w="1462" w:type="dxa"/>
            <w:tcBorders>
              <w:top w:val="nil"/>
              <w:left w:val="nil"/>
              <w:bottom w:val="single" w:sz="4" w:space="0" w:color="C0C0C0"/>
              <w:right w:val="single" w:sz="4" w:space="0" w:color="000080"/>
            </w:tcBorders>
            <w:shd w:val="clear" w:color="auto" w:fill="auto"/>
            <w:noWrap/>
            <w:vAlign w:val="center"/>
            <w:hideMark/>
          </w:tcPr>
          <w:p w14:paraId="5DE11379"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99.439.465,44</w:t>
            </w:r>
          </w:p>
        </w:tc>
        <w:tc>
          <w:tcPr>
            <w:tcW w:w="1462" w:type="dxa"/>
            <w:tcBorders>
              <w:top w:val="nil"/>
              <w:left w:val="nil"/>
              <w:bottom w:val="single" w:sz="4" w:space="0" w:color="C0C0C0"/>
              <w:right w:val="single" w:sz="4" w:space="0" w:color="000080"/>
            </w:tcBorders>
            <w:shd w:val="clear" w:color="auto" w:fill="auto"/>
            <w:noWrap/>
            <w:vAlign w:val="center"/>
            <w:hideMark/>
          </w:tcPr>
          <w:p w14:paraId="1EB4F6B6"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110.797.295,66</w:t>
            </w:r>
          </w:p>
        </w:tc>
        <w:tc>
          <w:tcPr>
            <w:tcW w:w="1574" w:type="dxa"/>
            <w:tcBorders>
              <w:top w:val="nil"/>
              <w:left w:val="nil"/>
              <w:bottom w:val="single" w:sz="4" w:space="0" w:color="C0C0C0"/>
              <w:right w:val="single" w:sz="4" w:space="0" w:color="000000"/>
            </w:tcBorders>
            <w:shd w:val="clear" w:color="auto" w:fill="auto"/>
            <w:noWrap/>
            <w:vAlign w:val="center"/>
            <w:hideMark/>
          </w:tcPr>
          <w:p w14:paraId="1F69636F"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111,4</w:t>
            </w:r>
          </w:p>
        </w:tc>
      </w:tr>
      <w:tr w:rsidR="00A920E6" w:rsidRPr="00A920E6" w14:paraId="7660EF39"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noWrap/>
            <w:vAlign w:val="center"/>
            <w:hideMark/>
          </w:tcPr>
          <w:p w14:paraId="2712E5F2"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9221x, 9222x</w:t>
            </w:r>
          </w:p>
        </w:tc>
        <w:tc>
          <w:tcPr>
            <w:tcW w:w="5157" w:type="dxa"/>
            <w:tcBorders>
              <w:top w:val="nil"/>
              <w:left w:val="nil"/>
              <w:bottom w:val="single" w:sz="4" w:space="0" w:color="C0C0C0"/>
              <w:right w:val="single" w:sz="4" w:space="0" w:color="000080"/>
            </w:tcBorders>
            <w:shd w:val="clear" w:color="auto" w:fill="auto"/>
            <w:vAlign w:val="center"/>
            <w:hideMark/>
          </w:tcPr>
          <w:p w14:paraId="1B0C319C"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Višak prihoda - preneseni (šifre 92211+92212-92221-92222)</w:t>
            </w:r>
          </w:p>
        </w:tc>
        <w:tc>
          <w:tcPr>
            <w:tcW w:w="2919" w:type="dxa"/>
            <w:tcBorders>
              <w:top w:val="nil"/>
              <w:left w:val="nil"/>
              <w:bottom w:val="single" w:sz="4" w:space="0" w:color="C0C0C0"/>
              <w:right w:val="single" w:sz="4" w:space="0" w:color="000080"/>
            </w:tcBorders>
            <w:shd w:val="clear" w:color="auto" w:fill="auto"/>
            <w:noWrap/>
            <w:vAlign w:val="center"/>
            <w:hideMark/>
          </w:tcPr>
          <w:p w14:paraId="3DD7E618"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9221x,9222x VP</w:t>
            </w:r>
          </w:p>
        </w:tc>
        <w:tc>
          <w:tcPr>
            <w:tcW w:w="1462" w:type="dxa"/>
            <w:tcBorders>
              <w:top w:val="nil"/>
              <w:left w:val="nil"/>
              <w:bottom w:val="single" w:sz="4" w:space="0" w:color="C0C0C0"/>
              <w:right w:val="single" w:sz="4" w:space="0" w:color="000080"/>
            </w:tcBorders>
            <w:shd w:val="clear" w:color="auto" w:fill="auto"/>
            <w:noWrap/>
            <w:vAlign w:val="center"/>
            <w:hideMark/>
          </w:tcPr>
          <w:p w14:paraId="1EA2F7F2"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7.442.151,81</w:t>
            </w:r>
          </w:p>
        </w:tc>
        <w:tc>
          <w:tcPr>
            <w:tcW w:w="1462" w:type="dxa"/>
            <w:tcBorders>
              <w:top w:val="nil"/>
              <w:left w:val="nil"/>
              <w:bottom w:val="single" w:sz="4" w:space="0" w:color="C0C0C0"/>
              <w:right w:val="single" w:sz="4" w:space="0" w:color="000080"/>
            </w:tcBorders>
            <w:shd w:val="clear" w:color="auto" w:fill="auto"/>
            <w:noWrap/>
            <w:vAlign w:val="center"/>
            <w:hideMark/>
          </w:tcPr>
          <w:p w14:paraId="6D0EAE7E"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5.342.490,35</w:t>
            </w:r>
          </w:p>
        </w:tc>
        <w:tc>
          <w:tcPr>
            <w:tcW w:w="1574" w:type="dxa"/>
            <w:tcBorders>
              <w:top w:val="nil"/>
              <w:left w:val="nil"/>
              <w:bottom w:val="single" w:sz="4" w:space="0" w:color="C0C0C0"/>
              <w:right w:val="single" w:sz="4" w:space="0" w:color="000000"/>
            </w:tcBorders>
            <w:shd w:val="clear" w:color="auto" w:fill="auto"/>
            <w:noWrap/>
            <w:vAlign w:val="center"/>
            <w:hideMark/>
          </w:tcPr>
          <w:p w14:paraId="6748FEB9"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71,8</w:t>
            </w:r>
          </w:p>
        </w:tc>
      </w:tr>
      <w:tr w:rsidR="00A920E6" w:rsidRPr="00A920E6" w14:paraId="49B64E03"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noWrap/>
            <w:vAlign w:val="center"/>
            <w:hideMark/>
          </w:tcPr>
          <w:p w14:paraId="7FC64CBF"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9221x, 9222x</w:t>
            </w:r>
          </w:p>
        </w:tc>
        <w:tc>
          <w:tcPr>
            <w:tcW w:w="5157" w:type="dxa"/>
            <w:tcBorders>
              <w:top w:val="nil"/>
              <w:left w:val="nil"/>
              <w:bottom w:val="single" w:sz="4" w:space="0" w:color="C0C0C0"/>
              <w:right w:val="single" w:sz="4" w:space="0" w:color="000080"/>
            </w:tcBorders>
            <w:shd w:val="clear" w:color="auto" w:fill="auto"/>
            <w:vAlign w:val="center"/>
            <w:hideMark/>
          </w:tcPr>
          <w:p w14:paraId="757B4314"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Manjak prihoda - preneseni (šifre 92221+92222-92211-92212)</w:t>
            </w:r>
          </w:p>
        </w:tc>
        <w:tc>
          <w:tcPr>
            <w:tcW w:w="2919" w:type="dxa"/>
            <w:tcBorders>
              <w:top w:val="nil"/>
              <w:left w:val="nil"/>
              <w:bottom w:val="single" w:sz="4" w:space="0" w:color="C0C0C0"/>
              <w:right w:val="single" w:sz="4" w:space="0" w:color="000080"/>
            </w:tcBorders>
            <w:shd w:val="clear" w:color="auto" w:fill="auto"/>
            <w:noWrap/>
            <w:vAlign w:val="center"/>
            <w:hideMark/>
          </w:tcPr>
          <w:p w14:paraId="14C954AC"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9221x,9222x MP</w:t>
            </w:r>
          </w:p>
        </w:tc>
        <w:tc>
          <w:tcPr>
            <w:tcW w:w="1462" w:type="dxa"/>
            <w:tcBorders>
              <w:top w:val="nil"/>
              <w:left w:val="nil"/>
              <w:bottom w:val="single" w:sz="4" w:space="0" w:color="C0C0C0"/>
              <w:right w:val="single" w:sz="4" w:space="0" w:color="000080"/>
            </w:tcBorders>
            <w:shd w:val="clear" w:color="auto" w:fill="auto"/>
            <w:noWrap/>
            <w:vAlign w:val="center"/>
            <w:hideMark/>
          </w:tcPr>
          <w:p w14:paraId="0AC20E73"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51B0FB96"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0DB090F9"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4BBA02B2" w14:textId="77777777" w:rsidTr="00145A75">
        <w:trPr>
          <w:trHeight w:val="480"/>
        </w:trPr>
        <w:tc>
          <w:tcPr>
            <w:tcW w:w="1318" w:type="dxa"/>
            <w:tcBorders>
              <w:top w:val="nil"/>
              <w:left w:val="single" w:sz="4" w:space="0" w:color="000000"/>
              <w:bottom w:val="single" w:sz="4" w:space="0" w:color="000000"/>
              <w:right w:val="single" w:sz="4" w:space="0" w:color="000080"/>
            </w:tcBorders>
            <w:shd w:val="clear" w:color="auto" w:fill="auto"/>
            <w:vAlign w:val="center"/>
            <w:hideMark/>
          </w:tcPr>
          <w:p w14:paraId="71DBB3B6"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96, 97</w:t>
            </w:r>
          </w:p>
        </w:tc>
        <w:tc>
          <w:tcPr>
            <w:tcW w:w="5157" w:type="dxa"/>
            <w:tcBorders>
              <w:top w:val="nil"/>
              <w:left w:val="nil"/>
              <w:bottom w:val="single" w:sz="4" w:space="0" w:color="000000"/>
              <w:right w:val="single" w:sz="4" w:space="0" w:color="000080"/>
            </w:tcBorders>
            <w:shd w:val="clear" w:color="auto" w:fill="auto"/>
            <w:vAlign w:val="center"/>
            <w:hideMark/>
          </w:tcPr>
          <w:p w14:paraId="148A392B"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Obračunati pri</w:t>
            </w:r>
            <w:r w:rsidRPr="00A920E6">
              <w:rPr>
                <w:rFonts w:ascii="Arial" w:hAnsi="Arial" w:cs="Arial"/>
                <w:sz w:val="18"/>
                <w:szCs w:val="18"/>
              </w:rPr>
              <w:t xml:space="preserve">hodi poslovanja i od prodaje nefinancijske imovine </w:t>
            </w:r>
            <w:r w:rsidRPr="00A920E6">
              <w:rPr>
                <w:rFonts w:ascii="Arial" w:hAnsi="Arial" w:cs="Arial"/>
                <w:color w:val="000000"/>
                <w:sz w:val="18"/>
                <w:szCs w:val="18"/>
              </w:rPr>
              <w:t>- nenaplaćeni (šifre 96+97)</w:t>
            </w:r>
          </w:p>
        </w:tc>
        <w:tc>
          <w:tcPr>
            <w:tcW w:w="2919" w:type="dxa"/>
            <w:tcBorders>
              <w:top w:val="nil"/>
              <w:left w:val="nil"/>
              <w:bottom w:val="single" w:sz="4" w:space="0" w:color="000000"/>
              <w:right w:val="single" w:sz="4" w:space="0" w:color="000080"/>
            </w:tcBorders>
            <w:shd w:val="clear" w:color="auto" w:fill="auto"/>
            <w:vAlign w:val="center"/>
            <w:hideMark/>
          </w:tcPr>
          <w:p w14:paraId="15BFD767"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96,97</w:t>
            </w:r>
          </w:p>
        </w:tc>
        <w:tc>
          <w:tcPr>
            <w:tcW w:w="1462" w:type="dxa"/>
            <w:tcBorders>
              <w:top w:val="nil"/>
              <w:left w:val="nil"/>
              <w:bottom w:val="single" w:sz="4" w:space="0" w:color="000000"/>
              <w:right w:val="single" w:sz="4" w:space="0" w:color="000080"/>
            </w:tcBorders>
            <w:shd w:val="clear" w:color="auto" w:fill="auto"/>
            <w:noWrap/>
            <w:vAlign w:val="center"/>
            <w:hideMark/>
          </w:tcPr>
          <w:p w14:paraId="7BB74768"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41.923.089,19</w:t>
            </w:r>
          </w:p>
        </w:tc>
        <w:tc>
          <w:tcPr>
            <w:tcW w:w="1462" w:type="dxa"/>
            <w:tcBorders>
              <w:top w:val="nil"/>
              <w:left w:val="nil"/>
              <w:bottom w:val="single" w:sz="4" w:space="0" w:color="000000"/>
              <w:right w:val="single" w:sz="4" w:space="0" w:color="000080"/>
            </w:tcBorders>
            <w:shd w:val="clear" w:color="auto" w:fill="auto"/>
            <w:noWrap/>
            <w:vAlign w:val="center"/>
            <w:hideMark/>
          </w:tcPr>
          <w:p w14:paraId="413B5B70"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112.863.379,55</w:t>
            </w:r>
          </w:p>
        </w:tc>
        <w:tc>
          <w:tcPr>
            <w:tcW w:w="1574" w:type="dxa"/>
            <w:tcBorders>
              <w:top w:val="nil"/>
              <w:left w:val="nil"/>
              <w:bottom w:val="single" w:sz="4" w:space="0" w:color="000000"/>
              <w:right w:val="single" w:sz="4" w:space="0" w:color="000000"/>
            </w:tcBorders>
            <w:shd w:val="clear" w:color="auto" w:fill="auto"/>
            <w:noWrap/>
            <w:vAlign w:val="center"/>
            <w:hideMark/>
          </w:tcPr>
          <w:p w14:paraId="1D2FBEDE"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269,2</w:t>
            </w:r>
          </w:p>
        </w:tc>
      </w:tr>
      <w:tr w:rsidR="00A920E6" w:rsidRPr="00A920E6" w14:paraId="0A08A2CC" w14:textId="77777777" w:rsidTr="00145A75">
        <w:trPr>
          <w:trHeight w:val="402"/>
        </w:trPr>
        <w:tc>
          <w:tcPr>
            <w:tcW w:w="6475" w:type="dxa"/>
            <w:gridSpan w:val="2"/>
            <w:tcBorders>
              <w:top w:val="single" w:sz="4" w:space="0" w:color="000000"/>
              <w:left w:val="single" w:sz="4" w:space="0" w:color="000000"/>
              <w:bottom w:val="single" w:sz="4" w:space="0" w:color="C0C0C0"/>
              <w:right w:val="single" w:sz="4" w:space="0" w:color="000080"/>
            </w:tcBorders>
            <w:shd w:val="clear" w:color="DBE5F1" w:fill="DBE5F1"/>
            <w:vAlign w:val="center"/>
            <w:hideMark/>
          </w:tcPr>
          <w:p w14:paraId="3A063B69" w14:textId="77777777" w:rsidR="00A920E6" w:rsidRPr="00A920E6" w:rsidRDefault="00A920E6" w:rsidP="00A920E6">
            <w:pPr>
              <w:rPr>
                <w:rFonts w:ascii="Arial" w:hAnsi="Arial" w:cs="Arial"/>
                <w:b/>
                <w:bCs/>
                <w:color w:val="0C0C0C"/>
              </w:rPr>
            </w:pPr>
            <w:r w:rsidRPr="00A920E6">
              <w:rPr>
                <w:rFonts w:ascii="Arial" w:hAnsi="Arial" w:cs="Arial"/>
                <w:b/>
                <w:bCs/>
                <w:color w:val="0C0C0C"/>
              </w:rPr>
              <w:t>Primici i izdaci</w:t>
            </w:r>
          </w:p>
        </w:tc>
        <w:tc>
          <w:tcPr>
            <w:tcW w:w="2919" w:type="dxa"/>
            <w:tcBorders>
              <w:top w:val="nil"/>
              <w:left w:val="single" w:sz="4" w:space="0" w:color="000000"/>
              <w:bottom w:val="single" w:sz="4" w:space="0" w:color="C0C0C0"/>
              <w:right w:val="nil"/>
            </w:tcBorders>
            <w:shd w:val="clear" w:color="DBE5F1" w:fill="DBE5F1"/>
            <w:vAlign w:val="center"/>
            <w:hideMark/>
          </w:tcPr>
          <w:p w14:paraId="1C21EF55" w14:textId="77777777" w:rsidR="00A920E6" w:rsidRPr="00A920E6" w:rsidRDefault="00A920E6" w:rsidP="00A920E6">
            <w:pPr>
              <w:rPr>
                <w:rFonts w:ascii="Arial" w:hAnsi="Arial" w:cs="Arial"/>
                <w:b/>
                <w:bCs/>
                <w:color w:val="0C0C0C"/>
              </w:rPr>
            </w:pPr>
            <w:r w:rsidRPr="00A920E6">
              <w:rPr>
                <w:rFonts w:ascii="Arial" w:hAnsi="Arial" w:cs="Arial"/>
                <w:b/>
                <w:bCs/>
                <w:color w:val="0C0C0C"/>
              </w:rPr>
              <w:t> </w:t>
            </w:r>
          </w:p>
        </w:tc>
        <w:tc>
          <w:tcPr>
            <w:tcW w:w="1462" w:type="dxa"/>
            <w:tcBorders>
              <w:top w:val="nil"/>
              <w:left w:val="single" w:sz="4" w:space="0" w:color="000080"/>
              <w:bottom w:val="single" w:sz="4" w:space="0" w:color="C0C0C0"/>
              <w:right w:val="single" w:sz="4" w:space="0" w:color="000080"/>
            </w:tcBorders>
            <w:shd w:val="clear" w:color="DBE5F1" w:fill="DBE5F1"/>
            <w:noWrap/>
            <w:vAlign w:val="center"/>
            <w:hideMark/>
          </w:tcPr>
          <w:p w14:paraId="5CE74E98" w14:textId="77777777" w:rsidR="00A920E6" w:rsidRPr="00A920E6" w:rsidRDefault="00A920E6" w:rsidP="00A920E6">
            <w:pPr>
              <w:rPr>
                <w:rFonts w:ascii="Arial" w:hAnsi="Arial" w:cs="Arial"/>
                <w:b/>
                <w:bCs/>
                <w:color w:val="0C0C0C"/>
                <w:sz w:val="16"/>
                <w:szCs w:val="16"/>
              </w:rPr>
            </w:pPr>
            <w:r w:rsidRPr="00A920E6">
              <w:rPr>
                <w:rFonts w:ascii="Arial" w:hAnsi="Arial" w:cs="Arial"/>
                <w:b/>
                <w:bCs/>
                <w:color w:val="0C0C0C"/>
                <w:sz w:val="16"/>
                <w:szCs w:val="16"/>
              </w:rPr>
              <w:t> </w:t>
            </w:r>
          </w:p>
        </w:tc>
        <w:tc>
          <w:tcPr>
            <w:tcW w:w="1462" w:type="dxa"/>
            <w:tcBorders>
              <w:top w:val="nil"/>
              <w:left w:val="nil"/>
              <w:bottom w:val="single" w:sz="4" w:space="0" w:color="C0C0C0"/>
              <w:right w:val="single" w:sz="4" w:space="0" w:color="000080"/>
            </w:tcBorders>
            <w:shd w:val="clear" w:color="DBE5F1" w:fill="DBE5F1"/>
            <w:noWrap/>
            <w:vAlign w:val="center"/>
            <w:hideMark/>
          </w:tcPr>
          <w:p w14:paraId="30BEF855" w14:textId="77777777" w:rsidR="00A920E6" w:rsidRPr="00A920E6" w:rsidRDefault="00A920E6" w:rsidP="00A920E6">
            <w:pPr>
              <w:rPr>
                <w:rFonts w:ascii="Arial" w:hAnsi="Arial" w:cs="Arial"/>
                <w:b/>
                <w:bCs/>
                <w:color w:val="0C0C0C"/>
                <w:sz w:val="16"/>
                <w:szCs w:val="16"/>
              </w:rPr>
            </w:pPr>
            <w:r w:rsidRPr="00A920E6">
              <w:rPr>
                <w:rFonts w:ascii="Arial" w:hAnsi="Arial" w:cs="Arial"/>
                <w:b/>
                <w:bCs/>
                <w:color w:val="0C0C0C"/>
                <w:sz w:val="16"/>
                <w:szCs w:val="16"/>
              </w:rPr>
              <w:t> </w:t>
            </w:r>
          </w:p>
        </w:tc>
        <w:tc>
          <w:tcPr>
            <w:tcW w:w="1574" w:type="dxa"/>
            <w:tcBorders>
              <w:top w:val="nil"/>
              <w:left w:val="nil"/>
              <w:bottom w:val="single" w:sz="4" w:space="0" w:color="C0C0C0"/>
              <w:right w:val="single" w:sz="4" w:space="0" w:color="000000"/>
            </w:tcBorders>
            <w:shd w:val="clear" w:color="DBE5F1" w:fill="DBE5F1"/>
            <w:noWrap/>
            <w:vAlign w:val="center"/>
            <w:hideMark/>
          </w:tcPr>
          <w:p w14:paraId="2949A9ED" w14:textId="77777777" w:rsidR="00A920E6" w:rsidRPr="00A920E6" w:rsidRDefault="00A920E6" w:rsidP="00A920E6">
            <w:pPr>
              <w:rPr>
                <w:rFonts w:ascii="Arial" w:hAnsi="Arial" w:cs="Arial"/>
                <w:b/>
                <w:bCs/>
                <w:color w:val="0C0C0C"/>
                <w:sz w:val="16"/>
                <w:szCs w:val="16"/>
              </w:rPr>
            </w:pPr>
            <w:r w:rsidRPr="00A920E6">
              <w:rPr>
                <w:rFonts w:ascii="Arial" w:hAnsi="Arial" w:cs="Arial"/>
                <w:b/>
                <w:bCs/>
                <w:color w:val="0C0C0C"/>
                <w:sz w:val="16"/>
                <w:szCs w:val="16"/>
              </w:rPr>
              <w:t> </w:t>
            </w:r>
          </w:p>
        </w:tc>
      </w:tr>
      <w:tr w:rsidR="00A920E6" w:rsidRPr="00A920E6" w14:paraId="7F8B7314"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085A1A58"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8</w:t>
            </w:r>
          </w:p>
        </w:tc>
        <w:tc>
          <w:tcPr>
            <w:tcW w:w="5157" w:type="dxa"/>
            <w:tcBorders>
              <w:top w:val="nil"/>
              <w:left w:val="nil"/>
              <w:bottom w:val="single" w:sz="4" w:space="0" w:color="C0C0C0"/>
              <w:right w:val="single" w:sz="4" w:space="0" w:color="000080"/>
            </w:tcBorders>
            <w:shd w:val="clear" w:color="auto" w:fill="auto"/>
            <w:vAlign w:val="center"/>
            <w:hideMark/>
          </w:tcPr>
          <w:p w14:paraId="03B15839"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Primici od financijske imovine i zaduživanja (šifre 81+82+83+84+85)</w:t>
            </w:r>
          </w:p>
        </w:tc>
        <w:tc>
          <w:tcPr>
            <w:tcW w:w="2919" w:type="dxa"/>
            <w:tcBorders>
              <w:top w:val="nil"/>
              <w:left w:val="nil"/>
              <w:bottom w:val="single" w:sz="4" w:space="0" w:color="C0C0C0"/>
              <w:right w:val="single" w:sz="4" w:space="0" w:color="000080"/>
            </w:tcBorders>
            <w:shd w:val="clear" w:color="auto" w:fill="auto"/>
            <w:vAlign w:val="center"/>
            <w:hideMark/>
          </w:tcPr>
          <w:p w14:paraId="4592234D"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8</w:t>
            </w:r>
          </w:p>
        </w:tc>
        <w:tc>
          <w:tcPr>
            <w:tcW w:w="1462" w:type="dxa"/>
            <w:tcBorders>
              <w:top w:val="nil"/>
              <w:left w:val="nil"/>
              <w:bottom w:val="single" w:sz="4" w:space="0" w:color="C0C0C0"/>
              <w:right w:val="single" w:sz="4" w:space="0" w:color="000080"/>
            </w:tcBorders>
            <w:shd w:val="clear" w:color="auto" w:fill="auto"/>
            <w:noWrap/>
            <w:vAlign w:val="center"/>
            <w:hideMark/>
          </w:tcPr>
          <w:p w14:paraId="12611B57"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108.500.000,00</w:t>
            </w:r>
          </w:p>
        </w:tc>
        <w:tc>
          <w:tcPr>
            <w:tcW w:w="1462" w:type="dxa"/>
            <w:tcBorders>
              <w:top w:val="nil"/>
              <w:left w:val="nil"/>
              <w:bottom w:val="single" w:sz="4" w:space="0" w:color="C0C0C0"/>
              <w:right w:val="single" w:sz="4" w:space="0" w:color="000080"/>
            </w:tcBorders>
            <w:shd w:val="clear" w:color="auto" w:fill="auto"/>
            <w:noWrap/>
            <w:vAlign w:val="center"/>
            <w:hideMark/>
          </w:tcPr>
          <w:p w14:paraId="32628E55"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134.215.570,17</w:t>
            </w:r>
          </w:p>
        </w:tc>
        <w:tc>
          <w:tcPr>
            <w:tcW w:w="1574" w:type="dxa"/>
            <w:tcBorders>
              <w:top w:val="nil"/>
              <w:left w:val="nil"/>
              <w:bottom w:val="single" w:sz="4" w:space="0" w:color="C0C0C0"/>
              <w:right w:val="single" w:sz="4" w:space="0" w:color="000000"/>
            </w:tcBorders>
            <w:shd w:val="clear" w:color="auto" w:fill="auto"/>
            <w:noWrap/>
            <w:vAlign w:val="center"/>
            <w:hideMark/>
          </w:tcPr>
          <w:p w14:paraId="09FB0F6D"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123,7</w:t>
            </w:r>
          </w:p>
        </w:tc>
      </w:tr>
      <w:tr w:rsidR="00A920E6" w:rsidRPr="00A920E6" w14:paraId="519EAF01"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23CAC618"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81</w:t>
            </w:r>
          </w:p>
        </w:tc>
        <w:tc>
          <w:tcPr>
            <w:tcW w:w="5157" w:type="dxa"/>
            <w:tcBorders>
              <w:top w:val="nil"/>
              <w:left w:val="nil"/>
              <w:bottom w:val="single" w:sz="4" w:space="0" w:color="C0C0C0"/>
              <w:right w:val="single" w:sz="4" w:space="0" w:color="000080"/>
            </w:tcBorders>
            <w:shd w:val="clear" w:color="auto" w:fill="auto"/>
            <w:vAlign w:val="center"/>
            <w:hideMark/>
          </w:tcPr>
          <w:p w14:paraId="351E5C10" w14:textId="77777777" w:rsidR="00A920E6" w:rsidRPr="00A920E6" w:rsidRDefault="00A920E6" w:rsidP="00A920E6">
            <w:pPr>
              <w:rPr>
                <w:rFonts w:ascii="Arial" w:hAnsi="Arial" w:cs="Arial"/>
                <w:sz w:val="18"/>
                <w:szCs w:val="18"/>
              </w:rPr>
            </w:pPr>
            <w:r w:rsidRPr="00A920E6">
              <w:rPr>
                <w:rFonts w:ascii="Arial" w:hAnsi="Arial" w:cs="Arial"/>
                <w:sz w:val="18"/>
                <w:szCs w:val="18"/>
              </w:rPr>
              <w:t>Primljeni povrati glavnica danih zajmova (šifre 811+812+813+814+815+816+817+818)</w:t>
            </w:r>
          </w:p>
        </w:tc>
        <w:tc>
          <w:tcPr>
            <w:tcW w:w="2919" w:type="dxa"/>
            <w:tcBorders>
              <w:top w:val="nil"/>
              <w:left w:val="nil"/>
              <w:bottom w:val="single" w:sz="4" w:space="0" w:color="C0C0C0"/>
              <w:right w:val="single" w:sz="4" w:space="0" w:color="000080"/>
            </w:tcBorders>
            <w:shd w:val="clear" w:color="auto" w:fill="auto"/>
            <w:vAlign w:val="center"/>
            <w:hideMark/>
          </w:tcPr>
          <w:p w14:paraId="68BEA761"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81</w:t>
            </w:r>
          </w:p>
        </w:tc>
        <w:tc>
          <w:tcPr>
            <w:tcW w:w="1462" w:type="dxa"/>
            <w:tcBorders>
              <w:top w:val="nil"/>
              <w:left w:val="nil"/>
              <w:bottom w:val="single" w:sz="4" w:space="0" w:color="C0C0C0"/>
              <w:right w:val="single" w:sz="4" w:space="0" w:color="000080"/>
            </w:tcBorders>
            <w:shd w:val="clear" w:color="auto" w:fill="auto"/>
            <w:noWrap/>
            <w:vAlign w:val="center"/>
            <w:hideMark/>
          </w:tcPr>
          <w:p w14:paraId="75281EB5"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1F2F0A3B"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6AA8324D"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15D53C68"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4FAC9CF1"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811</w:t>
            </w:r>
          </w:p>
        </w:tc>
        <w:tc>
          <w:tcPr>
            <w:tcW w:w="5157" w:type="dxa"/>
            <w:tcBorders>
              <w:top w:val="nil"/>
              <w:left w:val="nil"/>
              <w:bottom w:val="single" w:sz="4" w:space="0" w:color="C0C0C0"/>
              <w:right w:val="single" w:sz="4" w:space="0" w:color="000080"/>
            </w:tcBorders>
            <w:shd w:val="clear" w:color="auto" w:fill="auto"/>
            <w:vAlign w:val="center"/>
            <w:hideMark/>
          </w:tcPr>
          <w:p w14:paraId="2C0DB2C0"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Primici (povrati) glavnice zajmova danih međunarodnim organizacijama, institucijama i tijelima EU te inozemnim vladama (šifre 8113 do 8116)</w:t>
            </w:r>
          </w:p>
        </w:tc>
        <w:tc>
          <w:tcPr>
            <w:tcW w:w="2919" w:type="dxa"/>
            <w:tcBorders>
              <w:top w:val="nil"/>
              <w:left w:val="nil"/>
              <w:bottom w:val="single" w:sz="4" w:space="0" w:color="C0C0C0"/>
              <w:right w:val="single" w:sz="4" w:space="0" w:color="000080"/>
            </w:tcBorders>
            <w:shd w:val="clear" w:color="auto" w:fill="auto"/>
            <w:vAlign w:val="center"/>
            <w:hideMark/>
          </w:tcPr>
          <w:p w14:paraId="248F4A7D"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811</w:t>
            </w:r>
          </w:p>
        </w:tc>
        <w:tc>
          <w:tcPr>
            <w:tcW w:w="1462" w:type="dxa"/>
            <w:tcBorders>
              <w:top w:val="nil"/>
              <w:left w:val="nil"/>
              <w:bottom w:val="single" w:sz="4" w:space="0" w:color="C0C0C0"/>
              <w:right w:val="single" w:sz="4" w:space="0" w:color="000080"/>
            </w:tcBorders>
            <w:shd w:val="clear" w:color="auto" w:fill="auto"/>
            <w:noWrap/>
            <w:vAlign w:val="center"/>
            <w:hideMark/>
          </w:tcPr>
          <w:p w14:paraId="282975FA"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599FC61F"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618065FB"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468760E0"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23BC64A3"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812</w:t>
            </w:r>
          </w:p>
        </w:tc>
        <w:tc>
          <w:tcPr>
            <w:tcW w:w="5157" w:type="dxa"/>
            <w:tcBorders>
              <w:top w:val="nil"/>
              <w:left w:val="nil"/>
              <w:bottom w:val="single" w:sz="4" w:space="0" w:color="C0C0C0"/>
              <w:right w:val="single" w:sz="4" w:space="0" w:color="000080"/>
            </w:tcBorders>
            <w:shd w:val="clear" w:color="auto" w:fill="auto"/>
            <w:vAlign w:val="center"/>
            <w:hideMark/>
          </w:tcPr>
          <w:p w14:paraId="0D6D8B2C"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Primici (povrati) glavnice zajmova danih neprofitnim organizacijama, građanima i kućanstvima (šifre 8121+8122)</w:t>
            </w:r>
          </w:p>
        </w:tc>
        <w:tc>
          <w:tcPr>
            <w:tcW w:w="2919" w:type="dxa"/>
            <w:tcBorders>
              <w:top w:val="nil"/>
              <w:left w:val="nil"/>
              <w:bottom w:val="single" w:sz="4" w:space="0" w:color="C0C0C0"/>
              <w:right w:val="single" w:sz="4" w:space="0" w:color="000080"/>
            </w:tcBorders>
            <w:shd w:val="clear" w:color="auto" w:fill="auto"/>
            <w:vAlign w:val="center"/>
            <w:hideMark/>
          </w:tcPr>
          <w:p w14:paraId="3E80D52D"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812</w:t>
            </w:r>
          </w:p>
        </w:tc>
        <w:tc>
          <w:tcPr>
            <w:tcW w:w="1462" w:type="dxa"/>
            <w:tcBorders>
              <w:top w:val="nil"/>
              <w:left w:val="nil"/>
              <w:bottom w:val="single" w:sz="4" w:space="0" w:color="C0C0C0"/>
              <w:right w:val="single" w:sz="4" w:space="0" w:color="000080"/>
            </w:tcBorders>
            <w:shd w:val="clear" w:color="auto" w:fill="auto"/>
            <w:noWrap/>
            <w:vAlign w:val="center"/>
            <w:hideMark/>
          </w:tcPr>
          <w:p w14:paraId="6F7EF00B"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73CBC7E2"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6BC02CE6"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195C3F4A"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62A061B5"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813</w:t>
            </w:r>
          </w:p>
        </w:tc>
        <w:tc>
          <w:tcPr>
            <w:tcW w:w="5157" w:type="dxa"/>
            <w:tcBorders>
              <w:top w:val="nil"/>
              <w:left w:val="nil"/>
              <w:bottom w:val="single" w:sz="4" w:space="0" w:color="C0C0C0"/>
              <w:right w:val="single" w:sz="4" w:space="0" w:color="000080"/>
            </w:tcBorders>
            <w:shd w:val="clear" w:color="auto" w:fill="auto"/>
            <w:vAlign w:val="center"/>
            <w:hideMark/>
          </w:tcPr>
          <w:p w14:paraId="3DD142F5"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Primici (povrati) glavnice zajmova danih kreditnim i ostalim financijskim institucijama u javnom sektoru (šifre 8132 do 8134)</w:t>
            </w:r>
          </w:p>
        </w:tc>
        <w:tc>
          <w:tcPr>
            <w:tcW w:w="2919" w:type="dxa"/>
            <w:tcBorders>
              <w:top w:val="nil"/>
              <w:left w:val="nil"/>
              <w:bottom w:val="single" w:sz="4" w:space="0" w:color="C0C0C0"/>
              <w:right w:val="single" w:sz="4" w:space="0" w:color="000080"/>
            </w:tcBorders>
            <w:shd w:val="clear" w:color="auto" w:fill="auto"/>
            <w:vAlign w:val="center"/>
            <w:hideMark/>
          </w:tcPr>
          <w:p w14:paraId="2002818E"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813</w:t>
            </w:r>
          </w:p>
        </w:tc>
        <w:tc>
          <w:tcPr>
            <w:tcW w:w="1462" w:type="dxa"/>
            <w:tcBorders>
              <w:top w:val="nil"/>
              <w:left w:val="nil"/>
              <w:bottom w:val="single" w:sz="4" w:space="0" w:color="C0C0C0"/>
              <w:right w:val="single" w:sz="4" w:space="0" w:color="000080"/>
            </w:tcBorders>
            <w:shd w:val="clear" w:color="auto" w:fill="auto"/>
            <w:noWrap/>
            <w:vAlign w:val="center"/>
            <w:hideMark/>
          </w:tcPr>
          <w:p w14:paraId="1B30E22E"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3D61BE07"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69C3D8AC"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38059922"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10DCF438"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814</w:t>
            </w:r>
          </w:p>
        </w:tc>
        <w:tc>
          <w:tcPr>
            <w:tcW w:w="5157" w:type="dxa"/>
            <w:tcBorders>
              <w:top w:val="nil"/>
              <w:left w:val="nil"/>
              <w:bottom w:val="single" w:sz="4" w:space="0" w:color="C0C0C0"/>
              <w:right w:val="single" w:sz="4" w:space="0" w:color="000080"/>
            </w:tcBorders>
            <w:shd w:val="clear" w:color="auto" w:fill="auto"/>
            <w:vAlign w:val="center"/>
            <w:hideMark/>
          </w:tcPr>
          <w:p w14:paraId="0791C57D"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Primici (povrati) glavnice zajmova danih trgovačkim društvima u javnom sektoru</w:t>
            </w:r>
          </w:p>
        </w:tc>
        <w:tc>
          <w:tcPr>
            <w:tcW w:w="2919" w:type="dxa"/>
            <w:tcBorders>
              <w:top w:val="nil"/>
              <w:left w:val="nil"/>
              <w:bottom w:val="single" w:sz="4" w:space="0" w:color="C0C0C0"/>
              <w:right w:val="single" w:sz="4" w:space="0" w:color="000080"/>
            </w:tcBorders>
            <w:shd w:val="clear" w:color="auto" w:fill="auto"/>
            <w:vAlign w:val="center"/>
            <w:hideMark/>
          </w:tcPr>
          <w:p w14:paraId="7E520846"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814</w:t>
            </w:r>
          </w:p>
        </w:tc>
        <w:tc>
          <w:tcPr>
            <w:tcW w:w="1462" w:type="dxa"/>
            <w:tcBorders>
              <w:top w:val="nil"/>
              <w:left w:val="nil"/>
              <w:bottom w:val="single" w:sz="4" w:space="0" w:color="C0C0C0"/>
              <w:right w:val="single" w:sz="4" w:space="0" w:color="000080"/>
            </w:tcBorders>
            <w:shd w:val="clear" w:color="auto" w:fill="auto"/>
            <w:noWrap/>
            <w:vAlign w:val="center"/>
            <w:hideMark/>
          </w:tcPr>
          <w:p w14:paraId="2C146AA7"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264C6103"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 </w:t>
            </w:r>
          </w:p>
        </w:tc>
        <w:tc>
          <w:tcPr>
            <w:tcW w:w="1574" w:type="dxa"/>
            <w:tcBorders>
              <w:top w:val="nil"/>
              <w:left w:val="nil"/>
              <w:bottom w:val="single" w:sz="4" w:space="0" w:color="C0C0C0"/>
              <w:right w:val="single" w:sz="4" w:space="0" w:color="000000"/>
            </w:tcBorders>
            <w:shd w:val="clear" w:color="auto" w:fill="auto"/>
            <w:noWrap/>
            <w:vAlign w:val="center"/>
            <w:hideMark/>
          </w:tcPr>
          <w:p w14:paraId="5B32697C"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7DD1A4A4"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49D07415"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815</w:t>
            </w:r>
          </w:p>
        </w:tc>
        <w:tc>
          <w:tcPr>
            <w:tcW w:w="5157" w:type="dxa"/>
            <w:tcBorders>
              <w:top w:val="nil"/>
              <w:left w:val="nil"/>
              <w:bottom w:val="single" w:sz="4" w:space="0" w:color="C0C0C0"/>
              <w:right w:val="single" w:sz="4" w:space="0" w:color="000080"/>
            </w:tcBorders>
            <w:shd w:val="clear" w:color="auto" w:fill="auto"/>
            <w:vAlign w:val="center"/>
            <w:hideMark/>
          </w:tcPr>
          <w:p w14:paraId="5D023573"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Primici (povrati) glavnice zajmova danih kreditnim i ostalim financijskim institucijama izvan javnog sektora (šifre 8153 do 8158)</w:t>
            </w:r>
          </w:p>
        </w:tc>
        <w:tc>
          <w:tcPr>
            <w:tcW w:w="2919" w:type="dxa"/>
            <w:tcBorders>
              <w:top w:val="nil"/>
              <w:left w:val="nil"/>
              <w:bottom w:val="single" w:sz="4" w:space="0" w:color="C0C0C0"/>
              <w:right w:val="single" w:sz="4" w:space="0" w:color="000080"/>
            </w:tcBorders>
            <w:shd w:val="clear" w:color="auto" w:fill="auto"/>
            <w:vAlign w:val="center"/>
            <w:hideMark/>
          </w:tcPr>
          <w:p w14:paraId="38C9653A"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815</w:t>
            </w:r>
          </w:p>
        </w:tc>
        <w:tc>
          <w:tcPr>
            <w:tcW w:w="1462" w:type="dxa"/>
            <w:tcBorders>
              <w:top w:val="nil"/>
              <w:left w:val="nil"/>
              <w:bottom w:val="single" w:sz="4" w:space="0" w:color="C0C0C0"/>
              <w:right w:val="single" w:sz="4" w:space="0" w:color="000080"/>
            </w:tcBorders>
            <w:shd w:val="clear" w:color="auto" w:fill="auto"/>
            <w:noWrap/>
            <w:vAlign w:val="center"/>
            <w:hideMark/>
          </w:tcPr>
          <w:p w14:paraId="213D43DB"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4660DD9C"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0D22743B"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616F0A91"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2DCAC758"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816</w:t>
            </w:r>
          </w:p>
        </w:tc>
        <w:tc>
          <w:tcPr>
            <w:tcW w:w="5157" w:type="dxa"/>
            <w:tcBorders>
              <w:top w:val="nil"/>
              <w:left w:val="nil"/>
              <w:bottom w:val="single" w:sz="4" w:space="0" w:color="C0C0C0"/>
              <w:right w:val="single" w:sz="4" w:space="0" w:color="000080"/>
            </w:tcBorders>
            <w:shd w:val="clear" w:color="auto" w:fill="auto"/>
            <w:vAlign w:val="center"/>
            <w:hideMark/>
          </w:tcPr>
          <w:p w14:paraId="574E522F"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Primici (povrati) glavnice zajmova danih trgovačkim društvima i obrtnicima izvan javnog sektora (šifre 8163 do 8166)</w:t>
            </w:r>
          </w:p>
        </w:tc>
        <w:tc>
          <w:tcPr>
            <w:tcW w:w="2919" w:type="dxa"/>
            <w:tcBorders>
              <w:top w:val="nil"/>
              <w:left w:val="nil"/>
              <w:bottom w:val="single" w:sz="4" w:space="0" w:color="C0C0C0"/>
              <w:right w:val="single" w:sz="4" w:space="0" w:color="000080"/>
            </w:tcBorders>
            <w:shd w:val="clear" w:color="auto" w:fill="auto"/>
            <w:vAlign w:val="center"/>
            <w:hideMark/>
          </w:tcPr>
          <w:p w14:paraId="72B3BF65"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816</w:t>
            </w:r>
          </w:p>
        </w:tc>
        <w:tc>
          <w:tcPr>
            <w:tcW w:w="1462" w:type="dxa"/>
            <w:tcBorders>
              <w:top w:val="nil"/>
              <w:left w:val="nil"/>
              <w:bottom w:val="single" w:sz="4" w:space="0" w:color="C0C0C0"/>
              <w:right w:val="single" w:sz="4" w:space="0" w:color="000080"/>
            </w:tcBorders>
            <w:shd w:val="clear" w:color="auto" w:fill="auto"/>
            <w:noWrap/>
            <w:vAlign w:val="center"/>
            <w:hideMark/>
          </w:tcPr>
          <w:p w14:paraId="74C27C3A"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6424A4B2"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6CCF2298"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4A3AE32D"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5890E861"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817</w:t>
            </w:r>
          </w:p>
        </w:tc>
        <w:tc>
          <w:tcPr>
            <w:tcW w:w="5157" w:type="dxa"/>
            <w:tcBorders>
              <w:top w:val="nil"/>
              <w:left w:val="nil"/>
              <w:bottom w:val="single" w:sz="4" w:space="0" w:color="C0C0C0"/>
              <w:right w:val="single" w:sz="4" w:space="0" w:color="000080"/>
            </w:tcBorders>
            <w:shd w:val="clear" w:color="auto" w:fill="auto"/>
            <w:vAlign w:val="center"/>
            <w:hideMark/>
          </w:tcPr>
          <w:p w14:paraId="4A2FB75E"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Povrat zajmova danih drugim razinama vlasti (šifre 8171 do 8177)</w:t>
            </w:r>
          </w:p>
        </w:tc>
        <w:tc>
          <w:tcPr>
            <w:tcW w:w="2919" w:type="dxa"/>
            <w:tcBorders>
              <w:top w:val="nil"/>
              <w:left w:val="nil"/>
              <w:bottom w:val="single" w:sz="4" w:space="0" w:color="C0C0C0"/>
              <w:right w:val="single" w:sz="4" w:space="0" w:color="000080"/>
            </w:tcBorders>
            <w:shd w:val="clear" w:color="auto" w:fill="auto"/>
            <w:vAlign w:val="center"/>
            <w:hideMark/>
          </w:tcPr>
          <w:p w14:paraId="239A5ABB"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817</w:t>
            </w:r>
          </w:p>
        </w:tc>
        <w:tc>
          <w:tcPr>
            <w:tcW w:w="1462" w:type="dxa"/>
            <w:tcBorders>
              <w:top w:val="nil"/>
              <w:left w:val="nil"/>
              <w:bottom w:val="single" w:sz="4" w:space="0" w:color="C0C0C0"/>
              <w:right w:val="single" w:sz="4" w:space="0" w:color="000080"/>
            </w:tcBorders>
            <w:shd w:val="clear" w:color="auto" w:fill="auto"/>
            <w:noWrap/>
            <w:vAlign w:val="center"/>
            <w:hideMark/>
          </w:tcPr>
          <w:p w14:paraId="739779A5"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1522943F"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6A9DFE8A"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7BE3A6EA"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370E25EC" w14:textId="77777777" w:rsidR="00A920E6" w:rsidRPr="00A920E6" w:rsidRDefault="00A920E6" w:rsidP="00A920E6">
            <w:pPr>
              <w:rPr>
                <w:rFonts w:ascii="Arial" w:hAnsi="Arial" w:cs="Arial"/>
                <w:sz w:val="18"/>
                <w:szCs w:val="18"/>
              </w:rPr>
            </w:pPr>
            <w:r w:rsidRPr="00A920E6">
              <w:rPr>
                <w:rFonts w:ascii="Arial" w:hAnsi="Arial" w:cs="Arial"/>
                <w:sz w:val="18"/>
                <w:szCs w:val="18"/>
              </w:rPr>
              <w:t>818</w:t>
            </w:r>
          </w:p>
        </w:tc>
        <w:tc>
          <w:tcPr>
            <w:tcW w:w="5157" w:type="dxa"/>
            <w:tcBorders>
              <w:top w:val="nil"/>
              <w:left w:val="nil"/>
              <w:bottom w:val="single" w:sz="4" w:space="0" w:color="C0C0C0"/>
              <w:right w:val="single" w:sz="4" w:space="0" w:color="000080"/>
            </w:tcBorders>
            <w:shd w:val="clear" w:color="auto" w:fill="auto"/>
            <w:vAlign w:val="center"/>
            <w:hideMark/>
          </w:tcPr>
          <w:p w14:paraId="34D1AC8C" w14:textId="77777777" w:rsidR="00A920E6" w:rsidRPr="00A920E6" w:rsidRDefault="00A920E6" w:rsidP="00A920E6">
            <w:pPr>
              <w:rPr>
                <w:rFonts w:ascii="Arial" w:hAnsi="Arial" w:cs="Arial"/>
                <w:sz w:val="18"/>
                <w:szCs w:val="18"/>
              </w:rPr>
            </w:pPr>
            <w:r w:rsidRPr="00A920E6">
              <w:rPr>
                <w:rFonts w:ascii="Arial" w:hAnsi="Arial" w:cs="Arial"/>
                <w:sz w:val="18"/>
                <w:szCs w:val="18"/>
              </w:rPr>
              <w:t xml:space="preserve">Primici od povrata </w:t>
            </w:r>
            <w:proofErr w:type="spellStart"/>
            <w:r w:rsidRPr="00A920E6">
              <w:rPr>
                <w:rFonts w:ascii="Arial" w:hAnsi="Arial" w:cs="Arial"/>
                <w:sz w:val="18"/>
                <w:szCs w:val="18"/>
              </w:rPr>
              <w:t>jamčevnih</w:t>
            </w:r>
            <w:proofErr w:type="spellEnd"/>
            <w:r w:rsidRPr="00A920E6">
              <w:rPr>
                <w:rFonts w:ascii="Arial" w:hAnsi="Arial" w:cs="Arial"/>
                <w:sz w:val="18"/>
                <w:szCs w:val="18"/>
              </w:rPr>
              <w:t xml:space="preserve"> pologa</w:t>
            </w:r>
          </w:p>
        </w:tc>
        <w:tc>
          <w:tcPr>
            <w:tcW w:w="2919" w:type="dxa"/>
            <w:tcBorders>
              <w:top w:val="nil"/>
              <w:left w:val="nil"/>
              <w:bottom w:val="single" w:sz="4" w:space="0" w:color="C0C0C0"/>
              <w:right w:val="single" w:sz="4" w:space="0" w:color="000080"/>
            </w:tcBorders>
            <w:shd w:val="clear" w:color="auto" w:fill="auto"/>
            <w:vAlign w:val="center"/>
            <w:hideMark/>
          </w:tcPr>
          <w:p w14:paraId="6AD53A38" w14:textId="77777777" w:rsidR="00A920E6" w:rsidRPr="00A920E6" w:rsidRDefault="00A920E6" w:rsidP="00A920E6">
            <w:pPr>
              <w:rPr>
                <w:rFonts w:ascii="Arial" w:hAnsi="Arial" w:cs="Arial"/>
                <w:b/>
                <w:bCs/>
                <w:sz w:val="18"/>
                <w:szCs w:val="18"/>
              </w:rPr>
            </w:pPr>
            <w:r w:rsidRPr="00A920E6">
              <w:rPr>
                <w:rFonts w:ascii="Arial" w:hAnsi="Arial" w:cs="Arial"/>
                <w:b/>
                <w:bCs/>
                <w:sz w:val="18"/>
                <w:szCs w:val="18"/>
              </w:rPr>
              <w:t>818</w:t>
            </w:r>
          </w:p>
        </w:tc>
        <w:tc>
          <w:tcPr>
            <w:tcW w:w="1462" w:type="dxa"/>
            <w:tcBorders>
              <w:top w:val="nil"/>
              <w:left w:val="nil"/>
              <w:bottom w:val="single" w:sz="4" w:space="0" w:color="C0C0C0"/>
              <w:right w:val="single" w:sz="4" w:space="0" w:color="000080"/>
            </w:tcBorders>
            <w:shd w:val="clear" w:color="auto" w:fill="auto"/>
            <w:noWrap/>
            <w:vAlign w:val="center"/>
            <w:hideMark/>
          </w:tcPr>
          <w:p w14:paraId="11275B80"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2DEDF95E"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 </w:t>
            </w:r>
          </w:p>
        </w:tc>
        <w:tc>
          <w:tcPr>
            <w:tcW w:w="1574" w:type="dxa"/>
            <w:tcBorders>
              <w:top w:val="nil"/>
              <w:left w:val="nil"/>
              <w:bottom w:val="single" w:sz="4" w:space="0" w:color="C0C0C0"/>
              <w:right w:val="single" w:sz="4" w:space="0" w:color="000000"/>
            </w:tcBorders>
            <w:shd w:val="clear" w:color="auto" w:fill="auto"/>
            <w:noWrap/>
            <w:vAlign w:val="center"/>
            <w:hideMark/>
          </w:tcPr>
          <w:p w14:paraId="1D846A03"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w:t>
            </w:r>
          </w:p>
        </w:tc>
      </w:tr>
      <w:tr w:rsidR="00A920E6" w:rsidRPr="00A920E6" w14:paraId="52C8E3FE"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67875731"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lastRenderedPageBreak/>
              <w:t>82</w:t>
            </w:r>
          </w:p>
        </w:tc>
        <w:tc>
          <w:tcPr>
            <w:tcW w:w="5157" w:type="dxa"/>
            <w:tcBorders>
              <w:top w:val="nil"/>
              <w:left w:val="nil"/>
              <w:bottom w:val="single" w:sz="4" w:space="0" w:color="C0C0C0"/>
              <w:right w:val="single" w:sz="4" w:space="0" w:color="000080"/>
            </w:tcBorders>
            <w:shd w:val="clear" w:color="auto" w:fill="auto"/>
            <w:vAlign w:val="center"/>
            <w:hideMark/>
          </w:tcPr>
          <w:p w14:paraId="4E28DA20" w14:textId="77777777" w:rsidR="00A920E6" w:rsidRPr="00A920E6" w:rsidRDefault="00A920E6" w:rsidP="00A920E6">
            <w:pPr>
              <w:rPr>
                <w:rFonts w:ascii="Arial" w:hAnsi="Arial" w:cs="Arial"/>
                <w:sz w:val="18"/>
                <w:szCs w:val="18"/>
              </w:rPr>
            </w:pPr>
            <w:r w:rsidRPr="00A920E6">
              <w:rPr>
                <w:rFonts w:ascii="Arial" w:hAnsi="Arial" w:cs="Arial"/>
                <w:sz w:val="18"/>
                <w:szCs w:val="18"/>
              </w:rPr>
              <w:t>Primici od izdanih financijskih instrumenata - vrijednosnih papira (šifre 821+822+823+824)</w:t>
            </w:r>
          </w:p>
        </w:tc>
        <w:tc>
          <w:tcPr>
            <w:tcW w:w="2919" w:type="dxa"/>
            <w:tcBorders>
              <w:top w:val="nil"/>
              <w:left w:val="nil"/>
              <w:bottom w:val="single" w:sz="4" w:space="0" w:color="C0C0C0"/>
              <w:right w:val="single" w:sz="4" w:space="0" w:color="000080"/>
            </w:tcBorders>
            <w:shd w:val="clear" w:color="auto" w:fill="auto"/>
            <w:vAlign w:val="center"/>
            <w:hideMark/>
          </w:tcPr>
          <w:p w14:paraId="1044E9F9"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82</w:t>
            </w:r>
          </w:p>
        </w:tc>
        <w:tc>
          <w:tcPr>
            <w:tcW w:w="1462" w:type="dxa"/>
            <w:tcBorders>
              <w:top w:val="nil"/>
              <w:left w:val="nil"/>
              <w:bottom w:val="single" w:sz="4" w:space="0" w:color="C0C0C0"/>
              <w:right w:val="single" w:sz="4" w:space="0" w:color="000080"/>
            </w:tcBorders>
            <w:shd w:val="clear" w:color="auto" w:fill="auto"/>
            <w:noWrap/>
            <w:vAlign w:val="center"/>
            <w:hideMark/>
          </w:tcPr>
          <w:p w14:paraId="3ED0C1F6"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69ADBF4D"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4990CB02"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7C7991E9"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7FDF600F"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821</w:t>
            </w:r>
          </w:p>
        </w:tc>
        <w:tc>
          <w:tcPr>
            <w:tcW w:w="5157" w:type="dxa"/>
            <w:tcBorders>
              <w:top w:val="nil"/>
              <w:left w:val="nil"/>
              <w:bottom w:val="single" w:sz="4" w:space="0" w:color="C0C0C0"/>
              <w:right w:val="single" w:sz="4" w:space="0" w:color="000080"/>
            </w:tcBorders>
            <w:shd w:val="clear" w:color="auto" w:fill="auto"/>
            <w:vAlign w:val="center"/>
            <w:hideMark/>
          </w:tcPr>
          <w:p w14:paraId="37752905"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Trezorski zapisi (šifre 8211+8212)</w:t>
            </w:r>
          </w:p>
        </w:tc>
        <w:tc>
          <w:tcPr>
            <w:tcW w:w="2919" w:type="dxa"/>
            <w:tcBorders>
              <w:top w:val="nil"/>
              <w:left w:val="nil"/>
              <w:bottom w:val="single" w:sz="4" w:space="0" w:color="C0C0C0"/>
              <w:right w:val="single" w:sz="4" w:space="0" w:color="000080"/>
            </w:tcBorders>
            <w:shd w:val="clear" w:color="auto" w:fill="auto"/>
            <w:vAlign w:val="center"/>
            <w:hideMark/>
          </w:tcPr>
          <w:p w14:paraId="24B36B2D"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821</w:t>
            </w:r>
          </w:p>
        </w:tc>
        <w:tc>
          <w:tcPr>
            <w:tcW w:w="1462" w:type="dxa"/>
            <w:tcBorders>
              <w:top w:val="nil"/>
              <w:left w:val="nil"/>
              <w:bottom w:val="single" w:sz="4" w:space="0" w:color="C0C0C0"/>
              <w:right w:val="single" w:sz="4" w:space="0" w:color="000080"/>
            </w:tcBorders>
            <w:shd w:val="clear" w:color="auto" w:fill="auto"/>
            <w:noWrap/>
            <w:vAlign w:val="center"/>
            <w:hideMark/>
          </w:tcPr>
          <w:p w14:paraId="12236655"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73197B34"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3398802A"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10021E48"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500AD0BC"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822</w:t>
            </w:r>
          </w:p>
        </w:tc>
        <w:tc>
          <w:tcPr>
            <w:tcW w:w="5157" w:type="dxa"/>
            <w:tcBorders>
              <w:top w:val="nil"/>
              <w:left w:val="nil"/>
              <w:bottom w:val="single" w:sz="4" w:space="0" w:color="C0C0C0"/>
              <w:right w:val="single" w:sz="4" w:space="0" w:color="000080"/>
            </w:tcBorders>
            <w:shd w:val="clear" w:color="auto" w:fill="auto"/>
            <w:vAlign w:val="center"/>
            <w:hideMark/>
          </w:tcPr>
          <w:p w14:paraId="49F6A173"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Obveznice (šifre 8221+8222)</w:t>
            </w:r>
          </w:p>
        </w:tc>
        <w:tc>
          <w:tcPr>
            <w:tcW w:w="2919" w:type="dxa"/>
            <w:tcBorders>
              <w:top w:val="nil"/>
              <w:left w:val="nil"/>
              <w:bottom w:val="single" w:sz="4" w:space="0" w:color="C0C0C0"/>
              <w:right w:val="single" w:sz="4" w:space="0" w:color="000080"/>
            </w:tcBorders>
            <w:shd w:val="clear" w:color="auto" w:fill="auto"/>
            <w:vAlign w:val="center"/>
            <w:hideMark/>
          </w:tcPr>
          <w:p w14:paraId="159C9ADD"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822</w:t>
            </w:r>
          </w:p>
        </w:tc>
        <w:tc>
          <w:tcPr>
            <w:tcW w:w="1462" w:type="dxa"/>
            <w:tcBorders>
              <w:top w:val="nil"/>
              <w:left w:val="nil"/>
              <w:bottom w:val="single" w:sz="4" w:space="0" w:color="C0C0C0"/>
              <w:right w:val="single" w:sz="4" w:space="0" w:color="000080"/>
            </w:tcBorders>
            <w:shd w:val="clear" w:color="auto" w:fill="auto"/>
            <w:noWrap/>
            <w:vAlign w:val="center"/>
            <w:hideMark/>
          </w:tcPr>
          <w:p w14:paraId="33EDBAD8"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4225D0E7"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3FCBFEFE"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7FB7DC25"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09CCEA55"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823</w:t>
            </w:r>
          </w:p>
        </w:tc>
        <w:tc>
          <w:tcPr>
            <w:tcW w:w="5157" w:type="dxa"/>
            <w:tcBorders>
              <w:top w:val="nil"/>
              <w:left w:val="nil"/>
              <w:bottom w:val="single" w:sz="4" w:space="0" w:color="C0C0C0"/>
              <w:right w:val="single" w:sz="4" w:space="0" w:color="000080"/>
            </w:tcBorders>
            <w:shd w:val="clear" w:color="auto" w:fill="auto"/>
            <w:vAlign w:val="center"/>
            <w:hideMark/>
          </w:tcPr>
          <w:p w14:paraId="15466339"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Opcije i drugi financijski derivati (šifre 8231+8232)</w:t>
            </w:r>
          </w:p>
        </w:tc>
        <w:tc>
          <w:tcPr>
            <w:tcW w:w="2919" w:type="dxa"/>
            <w:tcBorders>
              <w:top w:val="nil"/>
              <w:left w:val="nil"/>
              <w:bottom w:val="single" w:sz="4" w:space="0" w:color="C0C0C0"/>
              <w:right w:val="single" w:sz="4" w:space="0" w:color="000080"/>
            </w:tcBorders>
            <w:shd w:val="clear" w:color="auto" w:fill="auto"/>
            <w:vAlign w:val="center"/>
            <w:hideMark/>
          </w:tcPr>
          <w:p w14:paraId="485938DB"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823</w:t>
            </w:r>
          </w:p>
        </w:tc>
        <w:tc>
          <w:tcPr>
            <w:tcW w:w="1462" w:type="dxa"/>
            <w:tcBorders>
              <w:top w:val="nil"/>
              <w:left w:val="nil"/>
              <w:bottom w:val="single" w:sz="4" w:space="0" w:color="C0C0C0"/>
              <w:right w:val="single" w:sz="4" w:space="0" w:color="000080"/>
            </w:tcBorders>
            <w:shd w:val="clear" w:color="auto" w:fill="auto"/>
            <w:noWrap/>
            <w:vAlign w:val="center"/>
            <w:hideMark/>
          </w:tcPr>
          <w:p w14:paraId="21E6F769"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34AE466B"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1CD05775"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64A56EBA"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5DF9F6EF"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824</w:t>
            </w:r>
          </w:p>
        </w:tc>
        <w:tc>
          <w:tcPr>
            <w:tcW w:w="5157" w:type="dxa"/>
            <w:tcBorders>
              <w:top w:val="nil"/>
              <w:left w:val="nil"/>
              <w:bottom w:val="single" w:sz="4" w:space="0" w:color="C0C0C0"/>
              <w:right w:val="single" w:sz="4" w:space="0" w:color="000080"/>
            </w:tcBorders>
            <w:shd w:val="clear" w:color="auto" w:fill="auto"/>
            <w:vAlign w:val="center"/>
            <w:hideMark/>
          </w:tcPr>
          <w:p w14:paraId="59831C5E"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Ostali vrijednosni papiri (šifre 8241+8242)</w:t>
            </w:r>
          </w:p>
        </w:tc>
        <w:tc>
          <w:tcPr>
            <w:tcW w:w="2919" w:type="dxa"/>
            <w:tcBorders>
              <w:top w:val="nil"/>
              <w:left w:val="nil"/>
              <w:bottom w:val="single" w:sz="4" w:space="0" w:color="C0C0C0"/>
              <w:right w:val="single" w:sz="4" w:space="0" w:color="000080"/>
            </w:tcBorders>
            <w:shd w:val="clear" w:color="auto" w:fill="auto"/>
            <w:vAlign w:val="center"/>
            <w:hideMark/>
          </w:tcPr>
          <w:p w14:paraId="15E4316B"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824</w:t>
            </w:r>
          </w:p>
        </w:tc>
        <w:tc>
          <w:tcPr>
            <w:tcW w:w="1462" w:type="dxa"/>
            <w:tcBorders>
              <w:top w:val="nil"/>
              <w:left w:val="nil"/>
              <w:bottom w:val="single" w:sz="4" w:space="0" w:color="C0C0C0"/>
              <w:right w:val="single" w:sz="4" w:space="0" w:color="000080"/>
            </w:tcBorders>
            <w:shd w:val="clear" w:color="auto" w:fill="auto"/>
            <w:noWrap/>
            <w:vAlign w:val="center"/>
            <w:hideMark/>
          </w:tcPr>
          <w:p w14:paraId="6E48A598"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74059C3F"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1648099C"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49B5F7AC"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6AE71195"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83</w:t>
            </w:r>
          </w:p>
        </w:tc>
        <w:tc>
          <w:tcPr>
            <w:tcW w:w="5157" w:type="dxa"/>
            <w:tcBorders>
              <w:top w:val="nil"/>
              <w:left w:val="nil"/>
              <w:bottom w:val="single" w:sz="4" w:space="0" w:color="C0C0C0"/>
              <w:right w:val="single" w:sz="4" w:space="0" w:color="000080"/>
            </w:tcBorders>
            <w:shd w:val="clear" w:color="auto" w:fill="auto"/>
            <w:vAlign w:val="center"/>
            <w:hideMark/>
          </w:tcPr>
          <w:p w14:paraId="3D9A6AEE" w14:textId="77777777" w:rsidR="00A920E6" w:rsidRPr="00A920E6" w:rsidRDefault="00A920E6" w:rsidP="00A920E6">
            <w:pPr>
              <w:rPr>
                <w:rFonts w:ascii="Arial" w:hAnsi="Arial" w:cs="Arial"/>
                <w:sz w:val="18"/>
                <w:szCs w:val="18"/>
              </w:rPr>
            </w:pPr>
            <w:r w:rsidRPr="00A920E6">
              <w:rPr>
                <w:rFonts w:ascii="Arial" w:hAnsi="Arial" w:cs="Arial"/>
                <w:sz w:val="18"/>
                <w:szCs w:val="18"/>
              </w:rPr>
              <w:t>Primici od prodaje financijskih instrumenata - dionica i udjela u glavnici (šifre 831+832+833+834)</w:t>
            </w:r>
          </w:p>
        </w:tc>
        <w:tc>
          <w:tcPr>
            <w:tcW w:w="2919" w:type="dxa"/>
            <w:tcBorders>
              <w:top w:val="nil"/>
              <w:left w:val="nil"/>
              <w:bottom w:val="single" w:sz="4" w:space="0" w:color="C0C0C0"/>
              <w:right w:val="single" w:sz="4" w:space="0" w:color="000080"/>
            </w:tcBorders>
            <w:shd w:val="clear" w:color="auto" w:fill="auto"/>
            <w:vAlign w:val="center"/>
            <w:hideMark/>
          </w:tcPr>
          <w:p w14:paraId="6804F238"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83</w:t>
            </w:r>
          </w:p>
        </w:tc>
        <w:tc>
          <w:tcPr>
            <w:tcW w:w="1462" w:type="dxa"/>
            <w:tcBorders>
              <w:top w:val="nil"/>
              <w:left w:val="nil"/>
              <w:bottom w:val="single" w:sz="4" w:space="0" w:color="C0C0C0"/>
              <w:right w:val="single" w:sz="4" w:space="0" w:color="000080"/>
            </w:tcBorders>
            <w:shd w:val="clear" w:color="auto" w:fill="auto"/>
            <w:noWrap/>
            <w:vAlign w:val="center"/>
            <w:hideMark/>
          </w:tcPr>
          <w:p w14:paraId="20CD2C4E"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7A297DA1"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24C58CC4"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6EDD8273"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64EB4B5D"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831</w:t>
            </w:r>
          </w:p>
        </w:tc>
        <w:tc>
          <w:tcPr>
            <w:tcW w:w="5157" w:type="dxa"/>
            <w:tcBorders>
              <w:top w:val="nil"/>
              <w:left w:val="nil"/>
              <w:bottom w:val="single" w:sz="4" w:space="0" w:color="C0C0C0"/>
              <w:right w:val="single" w:sz="4" w:space="0" w:color="000080"/>
            </w:tcBorders>
            <w:shd w:val="clear" w:color="auto" w:fill="auto"/>
            <w:vAlign w:val="center"/>
            <w:hideMark/>
          </w:tcPr>
          <w:p w14:paraId="31B70C5F"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Primici od prodaje dionica i udjela u glavnici kreditnih i ostalih financijskih institucija u javnom sektoru (šifre 8312 do 8314)</w:t>
            </w:r>
          </w:p>
        </w:tc>
        <w:tc>
          <w:tcPr>
            <w:tcW w:w="2919" w:type="dxa"/>
            <w:tcBorders>
              <w:top w:val="nil"/>
              <w:left w:val="nil"/>
              <w:bottom w:val="single" w:sz="4" w:space="0" w:color="C0C0C0"/>
              <w:right w:val="single" w:sz="4" w:space="0" w:color="000080"/>
            </w:tcBorders>
            <w:shd w:val="clear" w:color="auto" w:fill="auto"/>
            <w:vAlign w:val="center"/>
            <w:hideMark/>
          </w:tcPr>
          <w:p w14:paraId="56626D54"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831</w:t>
            </w:r>
          </w:p>
        </w:tc>
        <w:tc>
          <w:tcPr>
            <w:tcW w:w="1462" w:type="dxa"/>
            <w:tcBorders>
              <w:top w:val="nil"/>
              <w:left w:val="nil"/>
              <w:bottom w:val="single" w:sz="4" w:space="0" w:color="C0C0C0"/>
              <w:right w:val="single" w:sz="4" w:space="0" w:color="000080"/>
            </w:tcBorders>
            <w:shd w:val="clear" w:color="auto" w:fill="auto"/>
            <w:noWrap/>
            <w:vAlign w:val="center"/>
            <w:hideMark/>
          </w:tcPr>
          <w:p w14:paraId="19092109"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0E4510DE"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0AA4C9C7"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18BA26D9"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2B6B9D62"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832</w:t>
            </w:r>
          </w:p>
        </w:tc>
        <w:tc>
          <w:tcPr>
            <w:tcW w:w="5157" w:type="dxa"/>
            <w:tcBorders>
              <w:top w:val="nil"/>
              <w:left w:val="nil"/>
              <w:bottom w:val="single" w:sz="4" w:space="0" w:color="C0C0C0"/>
              <w:right w:val="single" w:sz="4" w:space="0" w:color="000080"/>
            </w:tcBorders>
            <w:shd w:val="clear" w:color="auto" w:fill="auto"/>
            <w:vAlign w:val="center"/>
            <w:hideMark/>
          </w:tcPr>
          <w:p w14:paraId="5A818973"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Primici od prodaje dionica i udjela u glavnici trgovačkih društava u javnom sektoru</w:t>
            </w:r>
          </w:p>
        </w:tc>
        <w:tc>
          <w:tcPr>
            <w:tcW w:w="2919" w:type="dxa"/>
            <w:tcBorders>
              <w:top w:val="nil"/>
              <w:left w:val="nil"/>
              <w:bottom w:val="single" w:sz="4" w:space="0" w:color="C0C0C0"/>
              <w:right w:val="single" w:sz="4" w:space="0" w:color="000080"/>
            </w:tcBorders>
            <w:shd w:val="clear" w:color="auto" w:fill="auto"/>
            <w:vAlign w:val="center"/>
            <w:hideMark/>
          </w:tcPr>
          <w:p w14:paraId="3682DA3E"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832</w:t>
            </w:r>
          </w:p>
        </w:tc>
        <w:tc>
          <w:tcPr>
            <w:tcW w:w="1462" w:type="dxa"/>
            <w:tcBorders>
              <w:top w:val="nil"/>
              <w:left w:val="nil"/>
              <w:bottom w:val="single" w:sz="4" w:space="0" w:color="C0C0C0"/>
              <w:right w:val="single" w:sz="4" w:space="0" w:color="000080"/>
            </w:tcBorders>
            <w:shd w:val="clear" w:color="auto" w:fill="auto"/>
            <w:noWrap/>
            <w:vAlign w:val="center"/>
            <w:hideMark/>
          </w:tcPr>
          <w:p w14:paraId="54FB51B7"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487AC77A"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 </w:t>
            </w:r>
          </w:p>
        </w:tc>
        <w:tc>
          <w:tcPr>
            <w:tcW w:w="1574" w:type="dxa"/>
            <w:tcBorders>
              <w:top w:val="nil"/>
              <w:left w:val="nil"/>
              <w:bottom w:val="single" w:sz="4" w:space="0" w:color="C0C0C0"/>
              <w:right w:val="single" w:sz="4" w:space="0" w:color="000000"/>
            </w:tcBorders>
            <w:shd w:val="clear" w:color="auto" w:fill="auto"/>
            <w:noWrap/>
            <w:vAlign w:val="center"/>
            <w:hideMark/>
          </w:tcPr>
          <w:p w14:paraId="29435FAD"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0E7C6F9B"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387112BF"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833</w:t>
            </w:r>
          </w:p>
        </w:tc>
        <w:tc>
          <w:tcPr>
            <w:tcW w:w="5157" w:type="dxa"/>
            <w:tcBorders>
              <w:top w:val="nil"/>
              <w:left w:val="nil"/>
              <w:bottom w:val="single" w:sz="4" w:space="0" w:color="C0C0C0"/>
              <w:right w:val="single" w:sz="4" w:space="0" w:color="000080"/>
            </w:tcBorders>
            <w:shd w:val="clear" w:color="auto" w:fill="auto"/>
            <w:vAlign w:val="center"/>
            <w:hideMark/>
          </w:tcPr>
          <w:p w14:paraId="64E900E7"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Primici od prodaje dionica i udjela u glavnici kreditnih i ostalih financijskih institucija izvan javnog sektora (šifre 8331+8332)</w:t>
            </w:r>
          </w:p>
        </w:tc>
        <w:tc>
          <w:tcPr>
            <w:tcW w:w="2919" w:type="dxa"/>
            <w:tcBorders>
              <w:top w:val="nil"/>
              <w:left w:val="nil"/>
              <w:bottom w:val="single" w:sz="4" w:space="0" w:color="C0C0C0"/>
              <w:right w:val="single" w:sz="4" w:space="0" w:color="000080"/>
            </w:tcBorders>
            <w:shd w:val="clear" w:color="auto" w:fill="auto"/>
            <w:vAlign w:val="center"/>
            <w:hideMark/>
          </w:tcPr>
          <w:p w14:paraId="59D47DC0"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833</w:t>
            </w:r>
          </w:p>
        </w:tc>
        <w:tc>
          <w:tcPr>
            <w:tcW w:w="1462" w:type="dxa"/>
            <w:tcBorders>
              <w:top w:val="nil"/>
              <w:left w:val="nil"/>
              <w:bottom w:val="single" w:sz="4" w:space="0" w:color="C0C0C0"/>
              <w:right w:val="single" w:sz="4" w:space="0" w:color="000080"/>
            </w:tcBorders>
            <w:shd w:val="clear" w:color="auto" w:fill="auto"/>
            <w:noWrap/>
            <w:vAlign w:val="center"/>
            <w:hideMark/>
          </w:tcPr>
          <w:p w14:paraId="47E914CD"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53CFE572"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69A2329C"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50500B5F"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3EBE17E4"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834</w:t>
            </w:r>
          </w:p>
        </w:tc>
        <w:tc>
          <w:tcPr>
            <w:tcW w:w="5157" w:type="dxa"/>
            <w:tcBorders>
              <w:top w:val="nil"/>
              <w:left w:val="nil"/>
              <w:bottom w:val="single" w:sz="4" w:space="0" w:color="C0C0C0"/>
              <w:right w:val="single" w:sz="4" w:space="0" w:color="000080"/>
            </w:tcBorders>
            <w:shd w:val="clear" w:color="auto" w:fill="auto"/>
            <w:vAlign w:val="center"/>
            <w:hideMark/>
          </w:tcPr>
          <w:p w14:paraId="1DA76AD5"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Primici od prodaje dionica i udjela u glavnici trgovačkih društava izvan javnog sektora (šifre 8341+8342)</w:t>
            </w:r>
          </w:p>
        </w:tc>
        <w:tc>
          <w:tcPr>
            <w:tcW w:w="2919" w:type="dxa"/>
            <w:tcBorders>
              <w:top w:val="nil"/>
              <w:left w:val="nil"/>
              <w:bottom w:val="single" w:sz="4" w:space="0" w:color="C0C0C0"/>
              <w:right w:val="single" w:sz="4" w:space="0" w:color="000080"/>
            </w:tcBorders>
            <w:shd w:val="clear" w:color="auto" w:fill="auto"/>
            <w:vAlign w:val="center"/>
            <w:hideMark/>
          </w:tcPr>
          <w:p w14:paraId="3ABA4186"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834</w:t>
            </w:r>
          </w:p>
        </w:tc>
        <w:tc>
          <w:tcPr>
            <w:tcW w:w="1462" w:type="dxa"/>
            <w:tcBorders>
              <w:top w:val="nil"/>
              <w:left w:val="nil"/>
              <w:bottom w:val="single" w:sz="4" w:space="0" w:color="C0C0C0"/>
              <w:right w:val="single" w:sz="4" w:space="0" w:color="000080"/>
            </w:tcBorders>
            <w:shd w:val="clear" w:color="auto" w:fill="auto"/>
            <w:noWrap/>
            <w:vAlign w:val="center"/>
            <w:hideMark/>
          </w:tcPr>
          <w:p w14:paraId="16708AD9"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768B6026"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5BF49048"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617C1B75"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2DB0A452"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84</w:t>
            </w:r>
          </w:p>
        </w:tc>
        <w:tc>
          <w:tcPr>
            <w:tcW w:w="5157" w:type="dxa"/>
            <w:tcBorders>
              <w:top w:val="nil"/>
              <w:left w:val="nil"/>
              <w:bottom w:val="single" w:sz="4" w:space="0" w:color="C0C0C0"/>
              <w:right w:val="single" w:sz="4" w:space="0" w:color="000080"/>
            </w:tcBorders>
            <w:shd w:val="clear" w:color="auto" w:fill="auto"/>
            <w:vAlign w:val="center"/>
            <w:hideMark/>
          </w:tcPr>
          <w:p w14:paraId="6C9CAF75"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Primici od zaduživanja (šifre 841+842+843+844+845+847)</w:t>
            </w:r>
          </w:p>
        </w:tc>
        <w:tc>
          <w:tcPr>
            <w:tcW w:w="2919" w:type="dxa"/>
            <w:tcBorders>
              <w:top w:val="nil"/>
              <w:left w:val="nil"/>
              <w:bottom w:val="single" w:sz="4" w:space="0" w:color="C0C0C0"/>
              <w:right w:val="single" w:sz="4" w:space="0" w:color="000080"/>
            </w:tcBorders>
            <w:shd w:val="clear" w:color="auto" w:fill="auto"/>
            <w:vAlign w:val="center"/>
            <w:hideMark/>
          </w:tcPr>
          <w:p w14:paraId="52041B42"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84</w:t>
            </w:r>
          </w:p>
        </w:tc>
        <w:tc>
          <w:tcPr>
            <w:tcW w:w="1462" w:type="dxa"/>
            <w:tcBorders>
              <w:top w:val="nil"/>
              <w:left w:val="nil"/>
              <w:bottom w:val="single" w:sz="4" w:space="0" w:color="C0C0C0"/>
              <w:right w:val="single" w:sz="4" w:space="0" w:color="000080"/>
            </w:tcBorders>
            <w:shd w:val="clear" w:color="auto" w:fill="auto"/>
            <w:noWrap/>
            <w:vAlign w:val="center"/>
            <w:hideMark/>
          </w:tcPr>
          <w:p w14:paraId="02968148"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108.500.000,00</w:t>
            </w:r>
          </w:p>
        </w:tc>
        <w:tc>
          <w:tcPr>
            <w:tcW w:w="1462" w:type="dxa"/>
            <w:tcBorders>
              <w:top w:val="nil"/>
              <w:left w:val="nil"/>
              <w:bottom w:val="single" w:sz="4" w:space="0" w:color="C0C0C0"/>
              <w:right w:val="single" w:sz="4" w:space="0" w:color="000080"/>
            </w:tcBorders>
            <w:shd w:val="clear" w:color="auto" w:fill="auto"/>
            <w:noWrap/>
            <w:vAlign w:val="center"/>
            <w:hideMark/>
          </w:tcPr>
          <w:p w14:paraId="62EA5383"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134.215.570,17</w:t>
            </w:r>
          </w:p>
        </w:tc>
        <w:tc>
          <w:tcPr>
            <w:tcW w:w="1574" w:type="dxa"/>
            <w:tcBorders>
              <w:top w:val="nil"/>
              <w:left w:val="nil"/>
              <w:bottom w:val="single" w:sz="4" w:space="0" w:color="C0C0C0"/>
              <w:right w:val="single" w:sz="4" w:space="0" w:color="000000"/>
            </w:tcBorders>
            <w:shd w:val="clear" w:color="auto" w:fill="auto"/>
            <w:noWrap/>
            <w:vAlign w:val="center"/>
            <w:hideMark/>
          </w:tcPr>
          <w:p w14:paraId="5292B6D0"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123,7</w:t>
            </w:r>
          </w:p>
        </w:tc>
      </w:tr>
      <w:tr w:rsidR="00A920E6" w:rsidRPr="00A920E6" w14:paraId="4CAF1B60"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713645CC"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841</w:t>
            </w:r>
          </w:p>
        </w:tc>
        <w:tc>
          <w:tcPr>
            <w:tcW w:w="5157" w:type="dxa"/>
            <w:tcBorders>
              <w:top w:val="nil"/>
              <w:left w:val="nil"/>
              <w:bottom w:val="single" w:sz="4" w:space="0" w:color="C0C0C0"/>
              <w:right w:val="single" w:sz="4" w:space="0" w:color="000080"/>
            </w:tcBorders>
            <w:shd w:val="clear" w:color="auto" w:fill="auto"/>
            <w:vAlign w:val="center"/>
            <w:hideMark/>
          </w:tcPr>
          <w:p w14:paraId="4A208B56"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Primljeni krediti i zajmovi od međunarodnih organizacija, institucija i tijela EU te inozemnih vlada (šifre 8413 do 8416)</w:t>
            </w:r>
          </w:p>
        </w:tc>
        <w:tc>
          <w:tcPr>
            <w:tcW w:w="2919" w:type="dxa"/>
            <w:tcBorders>
              <w:top w:val="nil"/>
              <w:left w:val="nil"/>
              <w:bottom w:val="single" w:sz="4" w:space="0" w:color="C0C0C0"/>
              <w:right w:val="single" w:sz="4" w:space="0" w:color="000080"/>
            </w:tcBorders>
            <w:shd w:val="clear" w:color="auto" w:fill="auto"/>
            <w:vAlign w:val="center"/>
            <w:hideMark/>
          </w:tcPr>
          <w:p w14:paraId="5D8E2F31"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841</w:t>
            </w:r>
          </w:p>
        </w:tc>
        <w:tc>
          <w:tcPr>
            <w:tcW w:w="1462" w:type="dxa"/>
            <w:tcBorders>
              <w:top w:val="nil"/>
              <w:left w:val="nil"/>
              <w:bottom w:val="single" w:sz="4" w:space="0" w:color="C0C0C0"/>
              <w:right w:val="single" w:sz="4" w:space="0" w:color="000080"/>
            </w:tcBorders>
            <w:shd w:val="clear" w:color="auto" w:fill="auto"/>
            <w:noWrap/>
            <w:vAlign w:val="center"/>
            <w:hideMark/>
          </w:tcPr>
          <w:p w14:paraId="32B5598C"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108.500.000,00</w:t>
            </w:r>
          </w:p>
        </w:tc>
        <w:tc>
          <w:tcPr>
            <w:tcW w:w="1462" w:type="dxa"/>
            <w:tcBorders>
              <w:top w:val="nil"/>
              <w:left w:val="nil"/>
              <w:bottom w:val="single" w:sz="4" w:space="0" w:color="C0C0C0"/>
              <w:right w:val="single" w:sz="4" w:space="0" w:color="000080"/>
            </w:tcBorders>
            <w:shd w:val="clear" w:color="auto" w:fill="auto"/>
            <w:noWrap/>
            <w:vAlign w:val="center"/>
            <w:hideMark/>
          </w:tcPr>
          <w:p w14:paraId="7239152A"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134.215.570,17</w:t>
            </w:r>
          </w:p>
        </w:tc>
        <w:tc>
          <w:tcPr>
            <w:tcW w:w="1574" w:type="dxa"/>
            <w:tcBorders>
              <w:top w:val="nil"/>
              <w:left w:val="nil"/>
              <w:bottom w:val="single" w:sz="4" w:space="0" w:color="C0C0C0"/>
              <w:right w:val="single" w:sz="4" w:space="0" w:color="000000"/>
            </w:tcBorders>
            <w:shd w:val="clear" w:color="auto" w:fill="auto"/>
            <w:noWrap/>
            <w:vAlign w:val="center"/>
            <w:hideMark/>
          </w:tcPr>
          <w:p w14:paraId="12EDED23"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123,7</w:t>
            </w:r>
          </w:p>
        </w:tc>
      </w:tr>
      <w:tr w:rsidR="00A920E6" w:rsidRPr="00A920E6" w14:paraId="5A6706F0"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03690D39"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8414</w:t>
            </w:r>
          </w:p>
        </w:tc>
        <w:tc>
          <w:tcPr>
            <w:tcW w:w="5157" w:type="dxa"/>
            <w:tcBorders>
              <w:top w:val="nil"/>
              <w:left w:val="nil"/>
              <w:bottom w:val="single" w:sz="4" w:space="0" w:color="C0C0C0"/>
              <w:right w:val="single" w:sz="4" w:space="0" w:color="000080"/>
            </w:tcBorders>
            <w:shd w:val="clear" w:color="auto" w:fill="auto"/>
            <w:vAlign w:val="center"/>
            <w:hideMark/>
          </w:tcPr>
          <w:p w14:paraId="702CFE60"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Primljeni krediti i zajmovi od institucija i tijela EU</w:t>
            </w:r>
          </w:p>
        </w:tc>
        <w:tc>
          <w:tcPr>
            <w:tcW w:w="2919" w:type="dxa"/>
            <w:tcBorders>
              <w:top w:val="nil"/>
              <w:left w:val="nil"/>
              <w:bottom w:val="single" w:sz="4" w:space="0" w:color="C0C0C0"/>
              <w:right w:val="single" w:sz="4" w:space="0" w:color="000080"/>
            </w:tcBorders>
            <w:shd w:val="clear" w:color="auto" w:fill="auto"/>
            <w:vAlign w:val="center"/>
            <w:hideMark/>
          </w:tcPr>
          <w:p w14:paraId="09278B56"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8414</w:t>
            </w:r>
          </w:p>
        </w:tc>
        <w:tc>
          <w:tcPr>
            <w:tcW w:w="1462" w:type="dxa"/>
            <w:tcBorders>
              <w:top w:val="nil"/>
              <w:left w:val="nil"/>
              <w:bottom w:val="single" w:sz="4" w:space="0" w:color="C0C0C0"/>
              <w:right w:val="single" w:sz="4" w:space="0" w:color="000080"/>
            </w:tcBorders>
            <w:shd w:val="clear" w:color="auto" w:fill="auto"/>
            <w:noWrap/>
            <w:vAlign w:val="center"/>
            <w:hideMark/>
          </w:tcPr>
          <w:p w14:paraId="4D19096E"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108.500.000,00</w:t>
            </w:r>
          </w:p>
        </w:tc>
        <w:tc>
          <w:tcPr>
            <w:tcW w:w="1462" w:type="dxa"/>
            <w:tcBorders>
              <w:top w:val="nil"/>
              <w:left w:val="nil"/>
              <w:bottom w:val="single" w:sz="4" w:space="0" w:color="C0C0C0"/>
              <w:right w:val="single" w:sz="4" w:space="0" w:color="000080"/>
            </w:tcBorders>
            <w:shd w:val="clear" w:color="auto" w:fill="auto"/>
            <w:noWrap/>
            <w:vAlign w:val="center"/>
            <w:hideMark/>
          </w:tcPr>
          <w:p w14:paraId="548B9AB9"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134.215.570,17</w:t>
            </w:r>
          </w:p>
        </w:tc>
        <w:tc>
          <w:tcPr>
            <w:tcW w:w="1574" w:type="dxa"/>
            <w:tcBorders>
              <w:top w:val="nil"/>
              <w:left w:val="nil"/>
              <w:bottom w:val="single" w:sz="4" w:space="0" w:color="C0C0C0"/>
              <w:right w:val="single" w:sz="4" w:space="0" w:color="000000"/>
            </w:tcBorders>
            <w:shd w:val="clear" w:color="auto" w:fill="auto"/>
            <w:noWrap/>
            <w:vAlign w:val="center"/>
            <w:hideMark/>
          </w:tcPr>
          <w:p w14:paraId="0ABB9C47"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123,7</w:t>
            </w:r>
          </w:p>
        </w:tc>
      </w:tr>
      <w:tr w:rsidR="00A920E6" w:rsidRPr="00A920E6" w14:paraId="1688F7A3"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3E85F167"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842</w:t>
            </w:r>
          </w:p>
        </w:tc>
        <w:tc>
          <w:tcPr>
            <w:tcW w:w="5157" w:type="dxa"/>
            <w:tcBorders>
              <w:top w:val="nil"/>
              <w:left w:val="nil"/>
              <w:bottom w:val="single" w:sz="4" w:space="0" w:color="C0C0C0"/>
              <w:right w:val="single" w:sz="4" w:space="0" w:color="000080"/>
            </w:tcBorders>
            <w:shd w:val="clear" w:color="auto" w:fill="auto"/>
            <w:vAlign w:val="center"/>
            <w:hideMark/>
          </w:tcPr>
          <w:p w14:paraId="338ADB5A"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Primljeni krediti i zajmovi od kreditnih i ostalih financijskih institucija u javnom sektoru (šifre 8422 do 8424)</w:t>
            </w:r>
          </w:p>
        </w:tc>
        <w:tc>
          <w:tcPr>
            <w:tcW w:w="2919" w:type="dxa"/>
            <w:tcBorders>
              <w:top w:val="nil"/>
              <w:left w:val="nil"/>
              <w:bottom w:val="single" w:sz="4" w:space="0" w:color="C0C0C0"/>
              <w:right w:val="single" w:sz="4" w:space="0" w:color="000080"/>
            </w:tcBorders>
            <w:shd w:val="clear" w:color="auto" w:fill="auto"/>
            <w:vAlign w:val="center"/>
            <w:hideMark/>
          </w:tcPr>
          <w:p w14:paraId="710DEADA"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842</w:t>
            </w:r>
          </w:p>
        </w:tc>
        <w:tc>
          <w:tcPr>
            <w:tcW w:w="1462" w:type="dxa"/>
            <w:tcBorders>
              <w:top w:val="nil"/>
              <w:left w:val="nil"/>
              <w:bottom w:val="single" w:sz="4" w:space="0" w:color="C0C0C0"/>
              <w:right w:val="single" w:sz="4" w:space="0" w:color="000080"/>
            </w:tcBorders>
            <w:shd w:val="clear" w:color="auto" w:fill="auto"/>
            <w:noWrap/>
            <w:vAlign w:val="center"/>
            <w:hideMark/>
          </w:tcPr>
          <w:p w14:paraId="3DF7A142"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5FF248C0"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6CDDDD8A"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062CC0B8"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6A511465"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843</w:t>
            </w:r>
          </w:p>
        </w:tc>
        <w:tc>
          <w:tcPr>
            <w:tcW w:w="5157" w:type="dxa"/>
            <w:tcBorders>
              <w:top w:val="nil"/>
              <w:left w:val="nil"/>
              <w:bottom w:val="single" w:sz="4" w:space="0" w:color="C0C0C0"/>
              <w:right w:val="single" w:sz="4" w:space="0" w:color="000080"/>
            </w:tcBorders>
            <w:shd w:val="clear" w:color="auto" w:fill="auto"/>
            <w:vAlign w:val="center"/>
            <w:hideMark/>
          </w:tcPr>
          <w:p w14:paraId="43885583"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Primljeni zajmovi od trgovačkih društava u javnom sektoru</w:t>
            </w:r>
          </w:p>
        </w:tc>
        <w:tc>
          <w:tcPr>
            <w:tcW w:w="2919" w:type="dxa"/>
            <w:tcBorders>
              <w:top w:val="nil"/>
              <w:left w:val="nil"/>
              <w:bottom w:val="single" w:sz="4" w:space="0" w:color="C0C0C0"/>
              <w:right w:val="single" w:sz="4" w:space="0" w:color="000080"/>
            </w:tcBorders>
            <w:shd w:val="clear" w:color="auto" w:fill="auto"/>
            <w:vAlign w:val="center"/>
            <w:hideMark/>
          </w:tcPr>
          <w:p w14:paraId="60454EDD"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843</w:t>
            </w:r>
          </w:p>
        </w:tc>
        <w:tc>
          <w:tcPr>
            <w:tcW w:w="1462" w:type="dxa"/>
            <w:tcBorders>
              <w:top w:val="nil"/>
              <w:left w:val="nil"/>
              <w:bottom w:val="single" w:sz="4" w:space="0" w:color="C0C0C0"/>
              <w:right w:val="single" w:sz="4" w:space="0" w:color="000080"/>
            </w:tcBorders>
            <w:shd w:val="clear" w:color="auto" w:fill="auto"/>
            <w:noWrap/>
            <w:vAlign w:val="center"/>
            <w:hideMark/>
          </w:tcPr>
          <w:p w14:paraId="5DEF710A"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45D07708"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 </w:t>
            </w:r>
          </w:p>
        </w:tc>
        <w:tc>
          <w:tcPr>
            <w:tcW w:w="1574" w:type="dxa"/>
            <w:tcBorders>
              <w:top w:val="nil"/>
              <w:left w:val="nil"/>
              <w:bottom w:val="single" w:sz="4" w:space="0" w:color="C0C0C0"/>
              <w:right w:val="single" w:sz="4" w:space="0" w:color="000000"/>
            </w:tcBorders>
            <w:shd w:val="clear" w:color="auto" w:fill="auto"/>
            <w:noWrap/>
            <w:vAlign w:val="center"/>
            <w:hideMark/>
          </w:tcPr>
          <w:p w14:paraId="6973450C"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296ABAD3"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7DEA00C5"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844</w:t>
            </w:r>
          </w:p>
        </w:tc>
        <w:tc>
          <w:tcPr>
            <w:tcW w:w="5157" w:type="dxa"/>
            <w:tcBorders>
              <w:top w:val="nil"/>
              <w:left w:val="nil"/>
              <w:bottom w:val="single" w:sz="4" w:space="0" w:color="C0C0C0"/>
              <w:right w:val="single" w:sz="4" w:space="0" w:color="000080"/>
            </w:tcBorders>
            <w:shd w:val="clear" w:color="auto" w:fill="auto"/>
            <w:vAlign w:val="center"/>
            <w:hideMark/>
          </w:tcPr>
          <w:p w14:paraId="152C9309"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Primljeni krediti i zajmovi od kreditnih i ostalih financijskih institucija izvan javnog sektora (šifre 8443 do 8448)</w:t>
            </w:r>
          </w:p>
        </w:tc>
        <w:tc>
          <w:tcPr>
            <w:tcW w:w="2919" w:type="dxa"/>
            <w:tcBorders>
              <w:top w:val="nil"/>
              <w:left w:val="nil"/>
              <w:bottom w:val="single" w:sz="4" w:space="0" w:color="C0C0C0"/>
              <w:right w:val="single" w:sz="4" w:space="0" w:color="000080"/>
            </w:tcBorders>
            <w:shd w:val="clear" w:color="auto" w:fill="auto"/>
            <w:vAlign w:val="center"/>
            <w:hideMark/>
          </w:tcPr>
          <w:p w14:paraId="6A117158"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844</w:t>
            </w:r>
          </w:p>
        </w:tc>
        <w:tc>
          <w:tcPr>
            <w:tcW w:w="1462" w:type="dxa"/>
            <w:tcBorders>
              <w:top w:val="nil"/>
              <w:left w:val="nil"/>
              <w:bottom w:val="single" w:sz="4" w:space="0" w:color="C0C0C0"/>
              <w:right w:val="single" w:sz="4" w:space="0" w:color="000080"/>
            </w:tcBorders>
            <w:shd w:val="clear" w:color="auto" w:fill="auto"/>
            <w:noWrap/>
            <w:vAlign w:val="center"/>
            <w:hideMark/>
          </w:tcPr>
          <w:p w14:paraId="3A363C33"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4DB03456"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7BD4AFD7"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19738860"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1E347078"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845</w:t>
            </w:r>
          </w:p>
        </w:tc>
        <w:tc>
          <w:tcPr>
            <w:tcW w:w="5157" w:type="dxa"/>
            <w:tcBorders>
              <w:top w:val="nil"/>
              <w:left w:val="nil"/>
              <w:bottom w:val="single" w:sz="4" w:space="0" w:color="C0C0C0"/>
              <w:right w:val="single" w:sz="4" w:space="0" w:color="000080"/>
            </w:tcBorders>
            <w:shd w:val="clear" w:color="auto" w:fill="auto"/>
            <w:vAlign w:val="center"/>
            <w:hideMark/>
          </w:tcPr>
          <w:p w14:paraId="5CCB6C41"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Primljeni zajmovi od trgovačkih društava i obrtnika izvan javnog sektora (šifre 8453 do 8456)</w:t>
            </w:r>
          </w:p>
        </w:tc>
        <w:tc>
          <w:tcPr>
            <w:tcW w:w="2919" w:type="dxa"/>
            <w:tcBorders>
              <w:top w:val="nil"/>
              <w:left w:val="nil"/>
              <w:bottom w:val="single" w:sz="4" w:space="0" w:color="C0C0C0"/>
              <w:right w:val="single" w:sz="4" w:space="0" w:color="000080"/>
            </w:tcBorders>
            <w:shd w:val="clear" w:color="auto" w:fill="auto"/>
            <w:vAlign w:val="center"/>
            <w:hideMark/>
          </w:tcPr>
          <w:p w14:paraId="0304F074"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845</w:t>
            </w:r>
          </w:p>
        </w:tc>
        <w:tc>
          <w:tcPr>
            <w:tcW w:w="1462" w:type="dxa"/>
            <w:tcBorders>
              <w:top w:val="nil"/>
              <w:left w:val="nil"/>
              <w:bottom w:val="single" w:sz="4" w:space="0" w:color="C0C0C0"/>
              <w:right w:val="single" w:sz="4" w:space="0" w:color="000080"/>
            </w:tcBorders>
            <w:shd w:val="clear" w:color="auto" w:fill="auto"/>
            <w:noWrap/>
            <w:vAlign w:val="center"/>
            <w:hideMark/>
          </w:tcPr>
          <w:p w14:paraId="6F8948C3"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00B94AA5"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5F71526A"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0F1437AF"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6BA6CA15"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847</w:t>
            </w:r>
          </w:p>
        </w:tc>
        <w:tc>
          <w:tcPr>
            <w:tcW w:w="5157" w:type="dxa"/>
            <w:tcBorders>
              <w:top w:val="nil"/>
              <w:left w:val="nil"/>
              <w:bottom w:val="single" w:sz="4" w:space="0" w:color="C0C0C0"/>
              <w:right w:val="single" w:sz="4" w:space="0" w:color="000080"/>
            </w:tcBorders>
            <w:shd w:val="clear" w:color="auto" w:fill="auto"/>
            <w:vAlign w:val="center"/>
            <w:hideMark/>
          </w:tcPr>
          <w:p w14:paraId="78A37D7D"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Primljeni zajmovi od drugih razina vlasti (šifre 8471 do 8477)</w:t>
            </w:r>
          </w:p>
        </w:tc>
        <w:tc>
          <w:tcPr>
            <w:tcW w:w="2919" w:type="dxa"/>
            <w:tcBorders>
              <w:top w:val="nil"/>
              <w:left w:val="nil"/>
              <w:bottom w:val="single" w:sz="4" w:space="0" w:color="C0C0C0"/>
              <w:right w:val="single" w:sz="4" w:space="0" w:color="000080"/>
            </w:tcBorders>
            <w:shd w:val="clear" w:color="auto" w:fill="auto"/>
            <w:vAlign w:val="center"/>
            <w:hideMark/>
          </w:tcPr>
          <w:p w14:paraId="331219F9"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847</w:t>
            </w:r>
          </w:p>
        </w:tc>
        <w:tc>
          <w:tcPr>
            <w:tcW w:w="1462" w:type="dxa"/>
            <w:tcBorders>
              <w:top w:val="nil"/>
              <w:left w:val="nil"/>
              <w:bottom w:val="single" w:sz="4" w:space="0" w:color="C0C0C0"/>
              <w:right w:val="single" w:sz="4" w:space="0" w:color="000080"/>
            </w:tcBorders>
            <w:shd w:val="clear" w:color="auto" w:fill="auto"/>
            <w:noWrap/>
            <w:vAlign w:val="center"/>
            <w:hideMark/>
          </w:tcPr>
          <w:p w14:paraId="587B3F25"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0B32588B"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257B87C4"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740725CF"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58BA1953"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85</w:t>
            </w:r>
          </w:p>
        </w:tc>
        <w:tc>
          <w:tcPr>
            <w:tcW w:w="5157" w:type="dxa"/>
            <w:tcBorders>
              <w:top w:val="nil"/>
              <w:left w:val="nil"/>
              <w:bottom w:val="single" w:sz="4" w:space="0" w:color="C0C0C0"/>
              <w:right w:val="single" w:sz="4" w:space="0" w:color="000080"/>
            </w:tcBorders>
            <w:shd w:val="clear" w:color="auto" w:fill="auto"/>
            <w:vAlign w:val="center"/>
            <w:hideMark/>
          </w:tcPr>
          <w:p w14:paraId="766A5F96" w14:textId="77777777" w:rsidR="00A920E6" w:rsidRPr="00A920E6" w:rsidRDefault="00A920E6" w:rsidP="00A920E6">
            <w:pPr>
              <w:rPr>
                <w:rFonts w:ascii="Arial" w:hAnsi="Arial" w:cs="Arial"/>
                <w:sz w:val="18"/>
                <w:szCs w:val="18"/>
              </w:rPr>
            </w:pPr>
            <w:r w:rsidRPr="00A920E6">
              <w:rPr>
                <w:rFonts w:ascii="Arial" w:hAnsi="Arial" w:cs="Arial"/>
                <w:sz w:val="18"/>
                <w:szCs w:val="18"/>
              </w:rPr>
              <w:t>Primici od prodaje financijskih instrumenata - vrijednosnih papira iz portfelja (šifre 851+852+853+854)</w:t>
            </w:r>
          </w:p>
        </w:tc>
        <w:tc>
          <w:tcPr>
            <w:tcW w:w="2919" w:type="dxa"/>
            <w:tcBorders>
              <w:top w:val="nil"/>
              <w:left w:val="nil"/>
              <w:bottom w:val="single" w:sz="4" w:space="0" w:color="C0C0C0"/>
              <w:right w:val="single" w:sz="4" w:space="0" w:color="000080"/>
            </w:tcBorders>
            <w:shd w:val="clear" w:color="auto" w:fill="auto"/>
            <w:vAlign w:val="center"/>
            <w:hideMark/>
          </w:tcPr>
          <w:p w14:paraId="69E206E9"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85</w:t>
            </w:r>
          </w:p>
        </w:tc>
        <w:tc>
          <w:tcPr>
            <w:tcW w:w="1462" w:type="dxa"/>
            <w:tcBorders>
              <w:top w:val="nil"/>
              <w:left w:val="nil"/>
              <w:bottom w:val="single" w:sz="4" w:space="0" w:color="C0C0C0"/>
              <w:right w:val="single" w:sz="4" w:space="0" w:color="000080"/>
            </w:tcBorders>
            <w:shd w:val="clear" w:color="auto" w:fill="auto"/>
            <w:noWrap/>
            <w:vAlign w:val="center"/>
            <w:hideMark/>
          </w:tcPr>
          <w:p w14:paraId="1F2FF795"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0E39C7EE"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59B79CCC"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00BBFB6E"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51425F06"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851</w:t>
            </w:r>
          </w:p>
        </w:tc>
        <w:tc>
          <w:tcPr>
            <w:tcW w:w="5157" w:type="dxa"/>
            <w:tcBorders>
              <w:top w:val="nil"/>
              <w:left w:val="nil"/>
              <w:bottom w:val="single" w:sz="4" w:space="0" w:color="C0C0C0"/>
              <w:right w:val="single" w:sz="4" w:space="0" w:color="000080"/>
            </w:tcBorders>
            <w:shd w:val="clear" w:color="auto" w:fill="auto"/>
            <w:vAlign w:val="center"/>
            <w:hideMark/>
          </w:tcPr>
          <w:p w14:paraId="7A444783"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Primici za komercijalne i blagajničke zapise (šifre 8511+8512)</w:t>
            </w:r>
          </w:p>
        </w:tc>
        <w:tc>
          <w:tcPr>
            <w:tcW w:w="2919" w:type="dxa"/>
            <w:tcBorders>
              <w:top w:val="nil"/>
              <w:left w:val="nil"/>
              <w:bottom w:val="single" w:sz="4" w:space="0" w:color="C0C0C0"/>
              <w:right w:val="single" w:sz="4" w:space="0" w:color="000080"/>
            </w:tcBorders>
            <w:shd w:val="clear" w:color="auto" w:fill="auto"/>
            <w:vAlign w:val="center"/>
            <w:hideMark/>
          </w:tcPr>
          <w:p w14:paraId="287860BB"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851</w:t>
            </w:r>
          </w:p>
        </w:tc>
        <w:tc>
          <w:tcPr>
            <w:tcW w:w="1462" w:type="dxa"/>
            <w:tcBorders>
              <w:top w:val="nil"/>
              <w:left w:val="nil"/>
              <w:bottom w:val="single" w:sz="4" w:space="0" w:color="C0C0C0"/>
              <w:right w:val="single" w:sz="4" w:space="0" w:color="000080"/>
            </w:tcBorders>
            <w:shd w:val="clear" w:color="auto" w:fill="auto"/>
            <w:noWrap/>
            <w:vAlign w:val="center"/>
            <w:hideMark/>
          </w:tcPr>
          <w:p w14:paraId="2D23AE64"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4CE5FE9B"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2E6556B4"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7A995EA7"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07AB177B"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852</w:t>
            </w:r>
          </w:p>
        </w:tc>
        <w:tc>
          <w:tcPr>
            <w:tcW w:w="5157" w:type="dxa"/>
            <w:tcBorders>
              <w:top w:val="nil"/>
              <w:left w:val="nil"/>
              <w:bottom w:val="single" w:sz="4" w:space="0" w:color="C0C0C0"/>
              <w:right w:val="single" w:sz="4" w:space="0" w:color="000080"/>
            </w:tcBorders>
            <w:shd w:val="clear" w:color="auto" w:fill="auto"/>
            <w:vAlign w:val="center"/>
            <w:hideMark/>
          </w:tcPr>
          <w:p w14:paraId="49B0754B"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Primici za obveznice (šifre 8521+8522)</w:t>
            </w:r>
          </w:p>
        </w:tc>
        <w:tc>
          <w:tcPr>
            <w:tcW w:w="2919" w:type="dxa"/>
            <w:tcBorders>
              <w:top w:val="nil"/>
              <w:left w:val="nil"/>
              <w:bottom w:val="single" w:sz="4" w:space="0" w:color="C0C0C0"/>
              <w:right w:val="single" w:sz="4" w:space="0" w:color="000080"/>
            </w:tcBorders>
            <w:shd w:val="clear" w:color="auto" w:fill="auto"/>
            <w:vAlign w:val="center"/>
            <w:hideMark/>
          </w:tcPr>
          <w:p w14:paraId="11908D26"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852</w:t>
            </w:r>
          </w:p>
        </w:tc>
        <w:tc>
          <w:tcPr>
            <w:tcW w:w="1462" w:type="dxa"/>
            <w:tcBorders>
              <w:top w:val="nil"/>
              <w:left w:val="nil"/>
              <w:bottom w:val="single" w:sz="4" w:space="0" w:color="C0C0C0"/>
              <w:right w:val="single" w:sz="4" w:space="0" w:color="000080"/>
            </w:tcBorders>
            <w:shd w:val="clear" w:color="auto" w:fill="auto"/>
            <w:noWrap/>
            <w:vAlign w:val="center"/>
            <w:hideMark/>
          </w:tcPr>
          <w:p w14:paraId="7183A88B"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62E5D01C"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256DA681"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5C142596"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6605FCA3"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853</w:t>
            </w:r>
          </w:p>
        </w:tc>
        <w:tc>
          <w:tcPr>
            <w:tcW w:w="5157" w:type="dxa"/>
            <w:tcBorders>
              <w:top w:val="nil"/>
              <w:left w:val="nil"/>
              <w:bottom w:val="single" w:sz="4" w:space="0" w:color="C0C0C0"/>
              <w:right w:val="single" w:sz="4" w:space="0" w:color="000080"/>
            </w:tcBorders>
            <w:shd w:val="clear" w:color="auto" w:fill="auto"/>
            <w:vAlign w:val="center"/>
            <w:hideMark/>
          </w:tcPr>
          <w:p w14:paraId="0EB9F35A"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Primici za opcije i druge financijske derivate (šifre 8531+8532)</w:t>
            </w:r>
          </w:p>
        </w:tc>
        <w:tc>
          <w:tcPr>
            <w:tcW w:w="2919" w:type="dxa"/>
            <w:tcBorders>
              <w:top w:val="nil"/>
              <w:left w:val="nil"/>
              <w:bottom w:val="single" w:sz="4" w:space="0" w:color="C0C0C0"/>
              <w:right w:val="single" w:sz="4" w:space="0" w:color="000080"/>
            </w:tcBorders>
            <w:shd w:val="clear" w:color="auto" w:fill="auto"/>
            <w:vAlign w:val="center"/>
            <w:hideMark/>
          </w:tcPr>
          <w:p w14:paraId="0EB97A06"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853</w:t>
            </w:r>
          </w:p>
        </w:tc>
        <w:tc>
          <w:tcPr>
            <w:tcW w:w="1462" w:type="dxa"/>
            <w:tcBorders>
              <w:top w:val="nil"/>
              <w:left w:val="nil"/>
              <w:bottom w:val="single" w:sz="4" w:space="0" w:color="C0C0C0"/>
              <w:right w:val="single" w:sz="4" w:space="0" w:color="000080"/>
            </w:tcBorders>
            <w:shd w:val="clear" w:color="auto" w:fill="auto"/>
            <w:noWrap/>
            <w:vAlign w:val="center"/>
            <w:hideMark/>
          </w:tcPr>
          <w:p w14:paraId="7C8ADFBD"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76B65243"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4B7ED73D"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60B1E20E"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02B218EA"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854</w:t>
            </w:r>
          </w:p>
        </w:tc>
        <w:tc>
          <w:tcPr>
            <w:tcW w:w="5157" w:type="dxa"/>
            <w:tcBorders>
              <w:top w:val="nil"/>
              <w:left w:val="nil"/>
              <w:bottom w:val="single" w:sz="4" w:space="0" w:color="C0C0C0"/>
              <w:right w:val="single" w:sz="4" w:space="0" w:color="000080"/>
            </w:tcBorders>
            <w:shd w:val="clear" w:color="auto" w:fill="auto"/>
            <w:vAlign w:val="center"/>
            <w:hideMark/>
          </w:tcPr>
          <w:p w14:paraId="05728302"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Primici za ostale vrijednosne papire (šifre 8541+8542)</w:t>
            </w:r>
          </w:p>
        </w:tc>
        <w:tc>
          <w:tcPr>
            <w:tcW w:w="2919" w:type="dxa"/>
            <w:tcBorders>
              <w:top w:val="nil"/>
              <w:left w:val="nil"/>
              <w:bottom w:val="single" w:sz="4" w:space="0" w:color="C0C0C0"/>
              <w:right w:val="single" w:sz="4" w:space="0" w:color="000080"/>
            </w:tcBorders>
            <w:shd w:val="clear" w:color="auto" w:fill="auto"/>
            <w:vAlign w:val="center"/>
            <w:hideMark/>
          </w:tcPr>
          <w:p w14:paraId="15188779"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854</w:t>
            </w:r>
          </w:p>
        </w:tc>
        <w:tc>
          <w:tcPr>
            <w:tcW w:w="1462" w:type="dxa"/>
            <w:tcBorders>
              <w:top w:val="nil"/>
              <w:left w:val="nil"/>
              <w:bottom w:val="single" w:sz="4" w:space="0" w:color="C0C0C0"/>
              <w:right w:val="single" w:sz="4" w:space="0" w:color="000080"/>
            </w:tcBorders>
            <w:shd w:val="clear" w:color="auto" w:fill="auto"/>
            <w:noWrap/>
            <w:vAlign w:val="center"/>
            <w:hideMark/>
          </w:tcPr>
          <w:p w14:paraId="6911E9B6"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6F3FE7FC"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01B39042"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4A5035FE"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4C8D91C9"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5</w:t>
            </w:r>
          </w:p>
        </w:tc>
        <w:tc>
          <w:tcPr>
            <w:tcW w:w="5157" w:type="dxa"/>
            <w:tcBorders>
              <w:top w:val="nil"/>
              <w:left w:val="nil"/>
              <w:bottom w:val="single" w:sz="4" w:space="0" w:color="C0C0C0"/>
              <w:right w:val="single" w:sz="4" w:space="0" w:color="000080"/>
            </w:tcBorders>
            <w:shd w:val="clear" w:color="auto" w:fill="auto"/>
            <w:vAlign w:val="center"/>
            <w:hideMark/>
          </w:tcPr>
          <w:p w14:paraId="6E1EACF9"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Izdaci za financijsku imovinu i otplate zajmova (šifre 51+52+53+54+55)</w:t>
            </w:r>
          </w:p>
        </w:tc>
        <w:tc>
          <w:tcPr>
            <w:tcW w:w="2919" w:type="dxa"/>
            <w:tcBorders>
              <w:top w:val="nil"/>
              <w:left w:val="nil"/>
              <w:bottom w:val="single" w:sz="4" w:space="0" w:color="C0C0C0"/>
              <w:right w:val="single" w:sz="4" w:space="0" w:color="000080"/>
            </w:tcBorders>
            <w:shd w:val="clear" w:color="auto" w:fill="auto"/>
            <w:vAlign w:val="center"/>
            <w:hideMark/>
          </w:tcPr>
          <w:p w14:paraId="29DECE4F"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5</w:t>
            </w:r>
          </w:p>
        </w:tc>
        <w:tc>
          <w:tcPr>
            <w:tcW w:w="1462" w:type="dxa"/>
            <w:tcBorders>
              <w:top w:val="nil"/>
              <w:left w:val="nil"/>
              <w:bottom w:val="single" w:sz="4" w:space="0" w:color="C0C0C0"/>
              <w:right w:val="single" w:sz="4" w:space="0" w:color="000080"/>
            </w:tcBorders>
            <w:shd w:val="clear" w:color="auto" w:fill="auto"/>
            <w:noWrap/>
            <w:vAlign w:val="center"/>
            <w:hideMark/>
          </w:tcPr>
          <w:p w14:paraId="639D7E4B"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720.749,60</w:t>
            </w:r>
          </w:p>
        </w:tc>
        <w:tc>
          <w:tcPr>
            <w:tcW w:w="1462" w:type="dxa"/>
            <w:tcBorders>
              <w:top w:val="nil"/>
              <w:left w:val="nil"/>
              <w:bottom w:val="single" w:sz="4" w:space="0" w:color="C0C0C0"/>
              <w:right w:val="single" w:sz="4" w:space="0" w:color="000080"/>
            </w:tcBorders>
            <w:shd w:val="clear" w:color="auto" w:fill="auto"/>
            <w:noWrap/>
            <w:vAlign w:val="center"/>
            <w:hideMark/>
          </w:tcPr>
          <w:p w14:paraId="2C02FC08"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28.169.765,10</w:t>
            </w:r>
          </w:p>
        </w:tc>
        <w:tc>
          <w:tcPr>
            <w:tcW w:w="1574" w:type="dxa"/>
            <w:tcBorders>
              <w:top w:val="nil"/>
              <w:left w:val="nil"/>
              <w:bottom w:val="single" w:sz="4" w:space="0" w:color="C0C0C0"/>
              <w:right w:val="single" w:sz="4" w:space="0" w:color="000000"/>
            </w:tcBorders>
            <w:shd w:val="clear" w:color="auto" w:fill="auto"/>
            <w:noWrap/>
            <w:vAlign w:val="center"/>
            <w:hideMark/>
          </w:tcPr>
          <w:p w14:paraId="098B9142"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3.908,4</w:t>
            </w:r>
          </w:p>
        </w:tc>
      </w:tr>
      <w:tr w:rsidR="00A920E6" w:rsidRPr="00A920E6" w14:paraId="63586703"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023420C7"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lastRenderedPageBreak/>
              <w:t>51</w:t>
            </w:r>
          </w:p>
        </w:tc>
        <w:tc>
          <w:tcPr>
            <w:tcW w:w="5157" w:type="dxa"/>
            <w:tcBorders>
              <w:top w:val="nil"/>
              <w:left w:val="nil"/>
              <w:bottom w:val="single" w:sz="4" w:space="0" w:color="C0C0C0"/>
              <w:right w:val="single" w:sz="4" w:space="0" w:color="000080"/>
            </w:tcBorders>
            <w:shd w:val="clear" w:color="auto" w:fill="auto"/>
            <w:vAlign w:val="center"/>
            <w:hideMark/>
          </w:tcPr>
          <w:p w14:paraId="24DA1B0E" w14:textId="77777777" w:rsidR="00A920E6" w:rsidRPr="00A920E6" w:rsidRDefault="00A920E6" w:rsidP="00A920E6">
            <w:pPr>
              <w:rPr>
                <w:rFonts w:ascii="Arial" w:hAnsi="Arial" w:cs="Arial"/>
                <w:sz w:val="18"/>
                <w:szCs w:val="18"/>
              </w:rPr>
            </w:pPr>
            <w:r w:rsidRPr="00A920E6">
              <w:rPr>
                <w:rFonts w:ascii="Arial" w:hAnsi="Arial" w:cs="Arial"/>
                <w:sz w:val="18"/>
                <w:szCs w:val="18"/>
              </w:rPr>
              <w:t xml:space="preserve">Izdaci za dane zajmove i </w:t>
            </w:r>
            <w:proofErr w:type="spellStart"/>
            <w:r w:rsidRPr="00A920E6">
              <w:rPr>
                <w:rFonts w:ascii="Arial" w:hAnsi="Arial" w:cs="Arial"/>
                <w:sz w:val="18"/>
                <w:szCs w:val="18"/>
              </w:rPr>
              <w:t>jamčevne</w:t>
            </w:r>
            <w:proofErr w:type="spellEnd"/>
            <w:r w:rsidRPr="00A920E6">
              <w:rPr>
                <w:rFonts w:ascii="Arial" w:hAnsi="Arial" w:cs="Arial"/>
                <w:sz w:val="18"/>
                <w:szCs w:val="18"/>
              </w:rPr>
              <w:t xml:space="preserve"> </w:t>
            </w:r>
            <w:proofErr w:type="spellStart"/>
            <w:r w:rsidRPr="00A920E6">
              <w:rPr>
                <w:rFonts w:ascii="Arial" w:hAnsi="Arial" w:cs="Arial"/>
                <w:sz w:val="18"/>
                <w:szCs w:val="18"/>
              </w:rPr>
              <w:t>pologe</w:t>
            </w:r>
            <w:proofErr w:type="spellEnd"/>
            <w:r w:rsidRPr="00A920E6">
              <w:rPr>
                <w:rFonts w:ascii="Arial" w:hAnsi="Arial" w:cs="Arial"/>
                <w:sz w:val="18"/>
                <w:szCs w:val="18"/>
              </w:rPr>
              <w:t xml:space="preserve"> (šifre 511+512+513+514+515+516+517+518)</w:t>
            </w:r>
          </w:p>
        </w:tc>
        <w:tc>
          <w:tcPr>
            <w:tcW w:w="2919" w:type="dxa"/>
            <w:tcBorders>
              <w:top w:val="nil"/>
              <w:left w:val="nil"/>
              <w:bottom w:val="single" w:sz="4" w:space="0" w:color="C0C0C0"/>
              <w:right w:val="single" w:sz="4" w:space="0" w:color="000080"/>
            </w:tcBorders>
            <w:shd w:val="clear" w:color="auto" w:fill="auto"/>
            <w:vAlign w:val="center"/>
            <w:hideMark/>
          </w:tcPr>
          <w:p w14:paraId="5E4CBABC"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51</w:t>
            </w:r>
          </w:p>
        </w:tc>
        <w:tc>
          <w:tcPr>
            <w:tcW w:w="1462" w:type="dxa"/>
            <w:tcBorders>
              <w:top w:val="nil"/>
              <w:left w:val="nil"/>
              <w:bottom w:val="single" w:sz="4" w:space="0" w:color="C0C0C0"/>
              <w:right w:val="single" w:sz="4" w:space="0" w:color="000080"/>
            </w:tcBorders>
            <w:shd w:val="clear" w:color="auto" w:fill="auto"/>
            <w:noWrap/>
            <w:vAlign w:val="center"/>
            <w:hideMark/>
          </w:tcPr>
          <w:p w14:paraId="40A49630"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720.749,60</w:t>
            </w:r>
          </w:p>
        </w:tc>
        <w:tc>
          <w:tcPr>
            <w:tcW w:w="1462" w:type="dxa"/>
            <w:tcBorders>
              <w:top w:val="nil"/>
              <w:left w:val="nil"/>
              <w:bottom w:val="single" w:sz="4" w:space="0" w:color="C0C0C0"/>
              <w:right w:val="single" w:sz="4" w:space="0" w:color="000080"/>
            </w:tcBorders>
            <w:shd w:val="clear" w:color="auto" w:fill="auto"/>
            <w:noWrap/>
            <w:vAlign w:val="center"/>
            <w:hideMark/>
          </w:tcPr>
          <w:p w14:paraId="05228BC1"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19581633"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0,0</w:t>
            </w:r>
          </w:p>
        </w:tc>
      </w:tr>
      <w:tr w:rsidR="00A920E6" w:rsidRPr="00A920E6" w14:paraId="13F34F58"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597A59C6"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516</w:t>
            </w:r>
          </w:p>
        </w:tc>
        <w:tc>
          <w:tcPr>
            <w:tcW w:w="5157" w:type="dxa"/>
            <w:tcBorders>
              <w:top w:val="nil"/>
              <w:left w:val="nil"/>
              <w:bottom w:val="single" w:sz="4" w:space="0" w:color="C0C0C0"/>
              <w:right w:val="single" w:sz="4" w:space="0" w:color="000080"/>
            </w:tcBorders>
            <w:shd w:val="clear" w:color="auto" w:fill="auto"/>
            <w:vAlign w:val="center"/>
            <w:hideMark/>
          </w:tcPr>
          <w:p w14:paraId="45D2D6CC"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Izdaci za dane zajmove trgovačkim društvima i obrtnicima izvan javnog sektora (šifre 5163 do 5166)</w:t>
            </w:r>
          </w:p>
        </w:tc>
        <w:tc>
          <w:tcPr>
            <w:tcW w:w="2919" w:type="dxa"/>
            <w:tcBorders>
              <w:top w:val="nil"/>
              <w:left w:val="nil"/>
              <w:bottom w:val="single" w:sz="4" w:space="0" w:color="C0C0C0"/>
              <w:right w:val="single" w:sz="4" w:space="0" w:color="000080"/>
            </w:tcBorders>
            <w:shd w:val="clear" w:color="auto" w:fill="auto"/>
            <w:vAlign w:val="center"/>
            <w:hideMark/>
          </w:tcPr>
          <w:p w14:paraId="44873018"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516</w:t>
            </w:r>
          </w:p>
        </w:tc>
        <w:tc>
          <w:tcPr>
            <w:tcW w:w="1462" w:type="dxa"/>
            <w:tcBorders>
              <w:top w:val="nil"/>
              <w:left w:val="nil"/>
              <w:bottom w:val="single" w:sz="4" w:space="0" w:color="C0C0C0"/>
              <w:right w:val="single" w:sz="4" w:space="0" w:color="000080"/>
            </w:tcBorders>
            <w:shd w:val="clear" w:color="auto" w:fill="auto"/>
            <w:noWrap/>
            <w:vAlign w:val="center"/>
            <w:hideMark/>
          </w:tcPr>
          <w:p w14:paraId="114CD659"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720.749,60</w:t>
            </w:r>
          </w:p>
        </w:tc>
        <w:tc>
          <w:tcPr>
            <w:tcW w:w="1462" w:type="dxa"/>
            <w:tcBorders>
              <w:top w:val="nil"/>
              <w:left w:val="nil"/>
              <w:bottom w:val="single" w:sz="4" w:space="0" w:color="C0C0C0"/>
              <w:right w:val="single" w:sz="4" w:space="0" w:color="000080"/>
            </w:tcBorders>
            <w:shd w:val="clear" w:color="auto" w:fill="auto"/>
            <w:noWrap/>
            <w:vAlign w:val="center"/>
            <w:hideMark/>
          </w:tcPr>
          <w:p w14:paraId="4BC7CEB3"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4B5195F9"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0,0</w:t>
            </w:r>
          </w:p>
        </w:tc>
      </w:tr>
      <w:tr w:rsidR="00A920E6" w:rsidRPr="00A920E6" w14:paraId="3F111FDB"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7837AD4B"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5163</w:t>
            </w:r>
          </w:p>
        </w:tc>
        <w:tc>
          <w:tcPr>
            <w:tcW w:w="5157" w:type="dxa"/>
            <w:tcBorders>
              <w:top w:val="nil"/>
              <w:left w:val="nil"/>
              <w:bottom w:val="single" w:sz="4" w:space="0" w:color="C0C0C0"/>
              <w:right w:val="single" w:sz="4" w:space="0" w:color="000080"/>
            </w:tcBorders>
            <w:shd w:val="clear" w:color="auto" w:fill="auto"/>
            <w:vAlign w:val="center"/>
            <w:hideMark/>
          </w:tcPr>
          <w:p w14:paraId="0B001DA5"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Dani zajmovi tuzemnim trgovačkim društvima izvan javnog sektora</w:t>
            </w:r>
          </w:p>
        </w:tc>
        <w:tc>
          <w:tcPr>
            <w:tcW w:w="2919" w:type="dxa"/>
            <w:tcBorders>
              <w:top w:val="nil"/>
              <w:left w:val="nil"/>
              <w:bottom w:val="single" w:sz="4" w:space="0" w:color="C0C0C0"/>
              <w:right w:val="single" w:sz="4" w:space="0" w:color="000080"/>
            </w:tcBorders>
            <w:shd w:val="clear" w:color="auto" w:fill="auto"/>
            <w:vAlign w:val="center"/>
            <w:hideMark/>
          </w:tcPr>
          <w:p w14:paraId="1E7DFF1C"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5163</w:t>
            </w:r>
          </w:p>
        </w:tc>
        <w:tc>
          <w:tcPr>
            <w:tcW w:w="1462" w:type="dxa"/>
            <w:tcBorders>
              <w:top w:val="nil"/>
              <w:left w:val="nil"/>
              <w:bottom w:val="single" w:sz="4" w:space="0" w:color="C0C0C0"/>
              <w:right w:val="single" w:sz="4" w:space="0" w:color="000080"/>
            </w:tcBorders>
            <w:shd w:val="clear" w:color="auto" w:fill="auto"/>
            <w:noWrap/>
            <w:vAlign w:val="center"/>
            <w:hideMark/>
          </w:tcPr>
          <w:p w14:paraId="62B0A98A"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720.749,60</w:t>
            </w:r>
          </w:p>
        </w:tc>
        <w:tc>
          <w:tcPr>
            <w:tcW w:w="1462" w:type="dxa"/>
            <w:tcBorders>
              <w:top w:val="nil"/>
              <w:left w:val="nil"/>
              <w:bottom w:val="single" w:sz="4" w:space="0" w:color="C0C0C0"/>
              <w:right w:val="single" w:sz="4" w:space="0" w:color="000080"/>
            </w:tcBorders>
            <w:shd w:val="clear" w:color="auto" w:fill="auto"/>
            <w:noWrap/>
            <w:vAlign w:val="center"/>
            <w:hideMark/>
          </w:tcPr>
          <w:p w14:paraId="2E650134"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 </w:t>
            </w:r>
          </w:p>
        </w:tc>
        <w:tc>
          <w:tcPr>
            <w:tcW w:w="1574" w:type="dxa"/>
            <w:tcBorders>
              <w:top w:val="nil"/>
              <w:left w:val="nil"/>
              <w:bottom w:val="single" w:sz="4" w:space="0" w:color="C0C0C0"/>
              <w:right w:val="single" w:sz="4" w:space="0" w:color="000000"/>
            </w:tcBorders>
            <w:shd w:val="clear" w:color="auto" w:fill="auto"/>
            <w:noWrap/>
            <w:vAlign w:val="center"/>
            <w:hideMark/>
          </w:tcPr>
          <w:p w14:paraId="73EBFB35"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0,0</w:t>
            </w:r>
          </w:p>
        </w:tc>
      </w:tr>
      <w:tr w:rsidR="00A920E6" w:rsidRPr="00A920E6" w14:paraId="43DAD1FA"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45766102"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53</w:t>
            </w:r>
          </w:p>
        </w:tc>
        <w:tc>
          <w:tcPr>
            <w:tcW w:w="5157" w:type="dxa"/>
            <w:tcBorders>
              <w:top w:val="nil"/>
              <w:left w:val="nil"/>
              <w:bottom w:val="single" w:sz="4" w:space="0" w:color="C0C0C0"/>
              <w:right w:val="single" w:sz="4" w:space="0" w:color="000080"/>
            </w:tcBorders>
            <w:shd w:val="clear" w:color="auto" w:fill="auto"/>
            <w:vAlign w:val="center"/>
            <w:hideMark/>
          </w:tcPr>
          <w:p w14:paraId="69747565" w14:textId="77777777" w:rsidR="00A920E6" w:rsidRPr="00A920E6" w:rsidRDefault="00A920E6" w:rsidP="00A920E6">
            <w:pPr>
              <w:rPr>
                <w:rFonts w:ascii="Arial" w:hAnsi="Arial" w:cs="Arial"/>
                <w:sz w:val="18"/>
                <w:szCs w:val="18"/>
              </w:rPr>
            </w:pPr>
            <w:r w:rsidRPr="00A920E6">
              <w:rPr>
                <w:rFonts w:ascii="Arial" w:hAnsi="Arial" w:cs="Arial"/>
                <w:sz w:val="18"/>
                <w:szCs w:val="18"/>
              </w:rPr>
              <w:t>Izdaci za ulaganja u financijske instrumente - dionice i udjele u glavnici (šifre 531+532+533+534)</w:t>
            </w:r>
          </w:p>
        </w:tc>
        <w:tc>
          <w:tcPr>
            <w:tcW w:w="2919" w:type="dxa"/>
            <w:tcBorders>
              <w:top w:val="nil"/>
              <w:left w:val="nil"/>
              <w:bottom w:val="single" w:sz="4" w:space="0" w:color="C0C0C0"/>
              <w:right w:val="single" w:sz="4" w:space="0" w:color="000080"/>
            </w:tcBorders>
            <w:shd w:val="clear" w:color="auto" w:fill="auto"/>
            <w:vAlign w:val="center"/>
            <w:hideMark/>
          </w:tcPr>
          <w:p w14:paraId="33C8A492"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53</w:t>
            </w:r>
          </w:p>
        </w:tc>
        <w:tc>
          <w:tcPr>
            <w:tcW w:w="1462" w:type="dxa"/>
            <w:tcBorders>
              <w:top w:val="nil"/>
              <w:left w:val="nil"/>
              <w:bottom w:val="single" w:sz="4" w:space="0" w:color="C0C0C0"/>
              <w:right w:val="single" w:sz="4" w:space="0" w:color="000080"/>
            </w:tcBorders>
            <w:shd w:val="clear" w:color="auto" w:fill="auto"/>
            <w:noWrap/>
            <w:vAlign w:val="center"/>
            <w:hideMark/>
          </w:tcPr>
          <w:p w14:paraId="335E38B3"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40B205B1"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28.169.765,10</w:t>
            </w:r>
          </w:p>
        </w:tc>
        <w:tc>
          <w:tcPr>
            <w:tcW w:w="1574" w:type="dxa"/>
            <w:tcBorders>
              <w:top w:val="nil"/>
              <w:left w:val="nil"/>
              <w:bottom w:val="single" w:sz="4" w:space="0" w:color="C0C0C0"/>
              <w:right w:val="single" w:sz="4" w:space="0" w:color="000000"/>
            </w:tcBorders>
            <w:shd w:val="clear" w:color="auto" w:fill="auto"/>
            <w:noWrap/>
            <w:vAlign w:val="center"/>
            <w:hideMark/>
          </w:tcPr>
          <w:p w14:paraId="089128E7"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4479EBEE"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223981FE"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532</w:t>
            </w:r>
          </w:p>
        </w:tc>
        <w:tc>
          <w:tcPr>
            <w:tcW w:w="5157" w:type="dxa"/>
            <w:tcBorders>
              <w:top w:val="nil"/>
              <w:left w:val="nil"/>
              <w:bottom w:val="single" w:sz="4" w:space="0" w:color="C0C0C0"/>
              <w:right w:val="single" w:sz="4" w:space="0" w:color="000080"/>
            </w:tcBorders>
            <w:shd w:val="clear" w:color="auto" w:fill="auto"/>
            <w:vAlign w:val="center"/>
            <w:hideMark/>
          </w:tcPr>
          <w:p w14:paraId="133CB728" w14:textId="77777777" w:rsidR="00A920E6" w:rsidRPr="00A920E6" w:rsidRDefault="00A920E6" w:rsidP="00A920E6">
            <w:pPr>
              <w:rPr>
                <w:rFonts w:ascii="Arial" w:hAnsi="Arial" w:cs="Arial"/>
                <w:sz w:val="18"/>
                <w:szCs w:val="18"/>
              </w:rPr>
            </w:pPr>
            <w:r w:rsidRPr="00A920E6">
              <w:rPr>
                <w:rFonts w:ascii="Arial" w:hAnsi="Arial" w:cs="Arial"/>
                <w:sz w:val="18"/>
                <w:szCs w:val="18"/>
              </w:rPr>
              <w:t>Izdaci za ulaganja u dionice i udjele u glavnici trgovačkih društava u javnom sektoru (šifra 5321)</w:t>
            </w:r>
          </w:p>
        </w:tc>
        <w:tc>
          <w:tcPr>
            <w:tcW w:w="2919" w:type="dxa"/>
            <w:tcBorders>
              <w:top w:val="nil"/>
              <w:left w:val="nil"/>
              <w:bottom w:val="single" w:sz="4" w:space="0" w:color="C0C0C0"/>
              <w:right w:val="single" w:sz="4" w:space="0" w:color="000080"/>
            </w:tcBorders>
            <w:shd w:val="clear" w:color="auto" w:fill="auto"/>
            <w:vAlign w:val="center"/>
            <w:hideMark/>
          </w:tcPr>
          <w:p w14:paraId="1B4B30C2"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532</w:t>
            </w:r>
          </w:p>
        </w:tc>
        <w:tc>
          <w:tcPr>
            <w:tcW w:w="1462" w:type="dxa"/>
            <w:tcBorders>
              <w:top w:val="nil"/>
              <w:left w:val="nil"/>
              <w:bottom w:val="single" w:sz="4" w:space="0" w:color="C0C0C0"/>
              <w:right w:val="single" w:sz="4" w:space="0" w:color="000080"/>
            </w:tcBorders>
            <w:shd w:val="clear" w:color="auto" w:fill="auto"/>
            <w:noWrap/>
            <w:vAlign w:val="center"/>
            <w:hideMark/>
          </w:tcPr>
          <w:p w14:paraId="2E9A30EF"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6C540BFA"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28.169.765,10</w:t>
            </w:r>
          </w:p>
        </w:tc>
        <w:tc>
          <w:tcPr>
            <w:tcW w:w="1574" w:type="dxa"/>
            <w:tcBorders>
              <w:top w:val="nil"/>
              <w:left w:val="nil"/>
              <w:bottom w:val="single" w:sz="4" w:space="0" w:color="C0C0C0"/>
              <w:right w:val="single" w:sz="4" w:space="0" w:color="000000"/>
            </w:tcBorders>
            <w:shd w:val="clear" w:color="auto" w:fill="auto"/>
            <w:noWrap/>
            <w:vAlign w:val="center"/>
            <w:hideMark/>
          </w:tcPr>
          <w:p w14:paraId="6F5C56C6"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1EBDD682"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145CE8FF"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5321</w:t>
            </w:r>
          </w:p>
        </w:tc>
        <w:tc>
          <w:tcPr>
            <w:tcW w:w="5157" w:type="dxa"/>
            <w:tcBorders>
              <w:top w:val="nil"/>
              <w:left w:val="nil"/>
              <w:bottom w:val="single" w:sz="4" w:space="0" w:color="C0C0C0"/>
              <w:right w:val="single" w:sz="4" w:space="0" w:color="000080"/>
            </w:tcBorders>
            <w:shd w:val="clear" w:color="auto" w:fill="auto"/>
            <w:vAlign w:val="center"/>
            <w:hideMark/>
          </w:tcPr>
          <w:p w14:paraId="4B6348D1" w14:textId="77777777" w:rsidR="00A920E6" w:rsidRPr="00A920E6" w:rsidRDefault="00A920E6" w:rsidP="00A920E6">
            <w:pPr>
              <w:rPr>
                <w:rFonts w:ascii="Arial" w:hAnsi="Arial" w:cs="Arial"/>
                <w:sz w:val="18"/>
                <w:szCs w:val="18"/>
              </w:rPr>
            </w:pPr>
            <w:r w:rsidRPr="00A920E6">
              <w:rPr>
                <w:rFonts w:ascii="Arial" w:hAnsi="Arial" w:cs="Arial"/>
                <w:sz w:val="18"/>
                <w:szCs w:val="18"/>
              </w:rPr>
              <w:t>Dionice i udjeli u glavnici trgovačkih društava u javnom sektoru</w:t>
            </w:r>
          </w:p>
        </w:tc>
        <w:tc>
          <w:tcPr>
            <w:tcW w:w="2919" w:type="dxa"/>
            <w:tcBorders>
              <w:top w:val="nil"/>
              <w:left w:val="nil"/>
              <w:bottom w:val="single" w:sz="4" w:space="0" w:color="C0C0C0"/>
              <w:right w:val="single" w:sz="4" w:space="0" w:color="000080"/>
            </w:tcBorders>
            <w:shd w:val="clear" w:color="auto" w:fill="auto"/>
            <w:vAlign w:val="center"/>
            <w:hideMark/>
          </w:tcPr>
          <w:p w14:paraId="3AED4D06"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5321</w:t>
            </w:r>
          </w:p>
        </w:tc>
        <w:tc>
          <w:tcPr>
            <w:tcW w:w="1462" w:type="dxa"/>
            <w:tcBorders>
              <w:top w:val="nil"/>
              <w:left w:val="nil"/>
              <w:bottom w:val="single" w:sz="4" w:space="0" w:color="C0C0C0"/>
              <w:right w:val="single" w:sz="4" w:space="0" w:color="000080"/>
            </w:tcBorders>
            <w:shd w:val="clear" w:color="auto" w:fill="auto"/>
            <w:noWrap/>
            <w:vAlign w:val="center"/>
            <w:hideMark/>
          </w:tcPr>
          <w:p w14:paraId="3CB0A384"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5F7DCB9A"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28.169.765,10</w:t>
            </w:r>
          </w:p>
        </w:tc>
        <w:tc>
          <w:tcPr>
            <w:tcW w:w="1574" w:type="dxa"/>
            <w:tcBorders>
              <w:top w:val="nil"/>
              <w:left w:val="nil"/>
              <w:bottom w:val="single" w:sz="4" w:space="0" w:color="C0C0C0"/>
              <w:right w:val="single" w:sz="4" w:space="0" w:color="000000"/>
            </w:tcBorders>
            <w:shd w:val="clear" w:color="auto" w:fill="auto"/>
            <w:noWrap/>
            <w:vAlign w:val="center"/>
            <w:hideMark/>
          </w:tcPr>
          <w:p w14:paraId="77F8CC2D"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18E1240A"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360F3132"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 xml:space="preserve"> </w:t>
            </w:r>
          </w:p>
        </w:tc>
        <w:tc>
          <w:tcPr>
            <w:tcW w:w="5157" w:type="dxa"/>
            <w:tcBorders>
              <w:top w:val="nil"/>
              <w:left w:val="nil"/>
              <w:bottom w:val="single" w:sz="4" w:space="0" w:color="C0C0C0"/>
              <w:right w:val="single" w:sz="4" w:space="0" w:color="000080"/>
            </w:tcBorders>
            <w:shd w:val="clear" w:color="auto" w:fill="auto"/>
            <w:vAlign w:val="center"/>
            <w:hideMark/>
          </w:tcPr>
          <w:p w14:paraId="7FDF0B73"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VIŠAK PRIMITAKA OD FINANCIJSKE IMOVINE I ZADUŽIVANJA (šifre 8-5)</w:t>
            </w:r>
          </w:p>
        </w:tc>
        <w:tc>
          <w:tcPr>
            <w:tcW w:w="2919" w:type="dxa"/>
            <w:tcBorders>
              <w:top w:val="nil"/>
              <w:left w:val="nil"/>
              <w:bottom w:val="single" w:sz="4" w:space="0" w:color="C0C0C0"/>
              <w:right w:val="single" w:sz="4" w:space="0" w:color="000080"/>
            </w:tcBorders>
            <w:shd w:val="clear" w:color="auto" w:fill="auto"/>
            <w:vAlign w:val="center"/>
            <w:hideMark/>
          </w:tcPr>
          <w:p w14:paraId="2AC73523"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X003</w:t>
            </w:r>
          </w:p>
        </w:tc>
        <w:tc>
          <w:tcPr>
            <w:tcW w:w="1462" w:type="dxa"/>
            <w:tcBorders>
              <w:top w:val="nil"/>
              <w:left w:val="nil"/>
              <w:bottom w:val="single" w:sz="4" w:space="0" w:color="C0C0C0"/>
              <w:right w:val="single" w:sz="4" w:space="0" w:color="000080"/>
            </w:tcBorders>
            <w:shd w:val="clear" w:color="auto" w:fill="auto"/>
            <w:noWrap/>
            <w:vAlign w:val="center"/>
            <w:hideMark/>
          </w:tcPr>
          <w:p w14:paraId="374E4B05"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107.779.250,40</w:t>
            </w:r>
          </w:p>
        </w:tc>
        <w:tc>
          <w:tcPr>
            <w:tcW w:w="1462" w:type="dxa"/>
            <w:tcBorders>
              <w:top w:val="nil"/>
              <w:left w:val="nil"/>
              <w:bottom w:val="single" w:sz="4" w:space="0" w:color="C0C0C0"/>
              <w:right w:val="single" w:sz="4" w:space="0" w:color="000080"/>
            </w:tcBorders>
            <w:shd w:val="clear" w:color="auto" w:fill="auto"/>
            <w:noWrap/>
            <w:vAlign w:val="center"/>
            <w:hideMark/>
          </w:tcPr>
          <w:p w14:paraId="51A0C759"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106.045.805,07</w:t>
            </w:r>
          </w:p>
        </w:tc>
        <w:tc>
          <w:tcPr>
            <w:tcW w:w="1574" w:type="dxa"/>
            <w:tcBorders>
              <w:top w:val="nil"/>
              <w:left w:val="nil"/>
              <w:bottom w:val="single" w:sz="4" w:space="0" w:color="C0C0C0"/>
              <w:right w:val="single" w:sz="4" w:space="0" w:color="000000"/>
            </w:tcBorders>
            <w:shd w:val="clear" w:color="auto" w:fill="auto"/>
            <w:noWrap/>
            <w:vAlign w:val="center"/>
            <w:hideMark/>
          </w:tcPr>
          <w:p w14:paraId="200C7494"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98,4</w:t>
            </w:r>
          </w:p>
        </w:tc>
      </w:tr>
      <w:tr w:rsidR="00A920E6" w:rsidRPr="00A920E6" w14:paraId="642E5CE3"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1030580C"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 xml:space="preserve"> </w:t>
            </w:r>
          </w:p>
        </w:tc>
        <w:tc>
          <w:tcPr>
            <w:tcW w:w="5157" w:type="dxa"/>
            <w:tcBorders>
              <w:top w:val="nil"/>
              <w:left w:val="nil"/>
              <w:bottom w:val="single" w:sz="4" w:space="0" w:color="C0C0C0"/>
              <w:right w:val="single" w:sz="4" w:space="0" w:color="000080"/>
            </w:tcBorders>
            <w:shd w:val="clear" w:color="auto" w:fill="auto"/>
            <w:vAlign w:val="center"/>
            <w:hideMark/>
          </w:tcPr>
          <w:p w14:paraId="29AE719E"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MANJAK PRIMITAKA OD FINANCIJSKE IMOVINE I ZADUŽIVANJA (šifre 5-8)</w:t>
            </w:r>
          </w:p>
        </w:tc>
        <w:tc>
          <w:tcPr>
            <w:tcW w:w="2919" w:type="dxa"/>
            <w:tcBorders>
              <w:top w:val="nil"/>
              <w:left w:val="nil"/>
              <w:bottom w:val="single" w:sz="4" w:space="0" w:color="C0C0C0"/>
              <w:right w:val="single" w:sz="4" w:space="0" w:color="000080"/>
            </w:tcBorders>
            <w:shd w:val="clear" w:color="auto" w:fill="auto"/>
            <w:vAlign w:val="center"/>
            <w:hideMark/>
          </w:tcPr>
          <w:p w14:paraId="24498926"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Y003</w:t>
            </w:r>
          </w:p>
        </w:tc>
        <w:tc>
          <w:tcPr>
            <w:tcW w:w="1462" w:type="dxa"/>
            <w:tcBorders>
              <w:top w:val="nil"/>
              <w:left w:val="nil"/>
              <w:bottom w:val="single" w:sz="4" w:space="0" w:color="C0C0C0"/>
              <w:right w:val="single" w:sz="4" w:space="0" w:color="000080"/>
            </w:tcBorders>
            <w:shd w:val="clear" w:color="auto" w:fill="auto"/>
            <w:noWrap/>
            <w:vAlign w:val="center"/>
            <w:hideMark/>
          </w:tcPr>
          <w:p w14:paraId="341F4CF9"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2FD8C1F4"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29956AC9"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4B2BF449"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61AE4F53"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92213</w:t>
            </w:r>
          </w:p>
        </w:tc>
        <w:tc>
          <w:tcPr>
            <w:tcW w:w="5157" w:type="dxa"/>
            <w:tcBorders>
              <w:top w:val="nil"/>
              <w:left w:val="nil"/>
              <w:bottom w:val="single" w:sz="4" w:space="0" w:color="C0C0C0"/>
              <w:right w:val="single" w:sz="4" w:space="0" w:color="000080"/>
            </w:tcBorders>
            <w:shd w:val="clear" w:color="auto" w:fill="auto"/>
            <w:vAlign w:val="center"/>
            <w:hideMark/>
          </w:tcPr>
          <w:p w14:paraId="7725FB57"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 xml:space="preserve">Višak primitaka od financijske imovine - preneseni </w:t>
            </w:r>
          </w:p>
        </w:tc>
        <w:tc>
          <w:tcPr>
            <w:tcW w:w="2919" w:type="dxa"/>
            <w:tcBorders>
              <w:top w:val="nil"/>
              <w:left w:val="nil"/>
              <w:bottom w:val="single" w:sz="4" w:space="0" w:color="C0C0C0"/>
              <w:right w:val="single" w:sz="4" w:space="0" w:color="000080"/>
            </w:tcBorders>
            <w:shd w:val="clear" w:color="auto" w:fill="auto"/>
            <w:vAlign w:val="center"/>
            <w:hideMark/>
          </w:tcPr>
          <w:p w14:paraId="072830CB"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92213</w:t>
            </w:r>
          </w:p>
        </w:tc>
        <w:tc>
          <w:tcPr>
            <w:tcW w:w="1462" w:type="dxa"/>
            <w:tcBorders>
              <w:top w:val="nil"/>
              <w:left w:val="nil"/>
              <w:bottom w:val="single" w:sz="4" w:space="0" w:color="C0C0C0"/>
              <w:right w:val="single" w:sz="4" w:space="0" w:color="000080"/>
            </w:tcBorders>
            <w:shd w:val="clear" w:color="auto" w:fill="auto"/>
            <w:noWrap/>
            <w:vAlign w:val="center"/>
            <w:hideMark/>
          </w:tcPr>
          <w:p w14:paraId="2BE49CB6"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7C5CB819"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10.525.429,83</w:t>
            </w:r>
          </w:p>
        </w:tc>
        <w:tc>
          <w:tcPr>
            <w:tcW w:w="1574" w:type="dxa"/>
            <w:tcBorders>
              <w:top w:val="nil"/>
              <w:left w:val="nil"/>
              <w:bottom w:val="single" w:sz="4" w:space="0" w:color="C0C0C0"/>
              <w:right w:val="single" w:sz="4" w:space="0" w:color="000000"/>
            </w:tcBorders>
            <w:shd w:val="clear" w:color="auto" w:fill="auto"/>
            <w:noWrap/>
            <w:vAlign w:val="center"/>
            <w:hideMark/>
          </w:tcPr>
          <w:p w14:paraId="0C0F89F3"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1B30BBDF"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70477985"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92223</w:t>
            </w:r>
          </w:p>
        </w:tc>
        <w:tc>
          <w:tcPr>
            <w:tcW w:w="5157" w:type="dxa"/>
            <w:tcBorders>
              <w:top w:val="nil"/>
              <w:left w:val="nil"/>
              <w:bottom w:val="single" w:sz="4" w:space="0" w:color="C0C0C0"/>
              <w:right w:val="single" w:sz="4" w:space="0" w:color="000080"/>
            </w:tcBorders>
            <w:shd w:val="clear" w:color="auto" w:fill="auto"/>
            <w:vAlign w:val="center"/>
            <w:hideMark/>
          </w:tcPr>
          <w:p w14:paraId="010DDDD4"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Manjak primitaka od financijske imovine - preneseni</w:t>
            </w:r>
          </w:p>
        </w:tc>
        <w:tc>
          <w:tcPr>
            <w:tcW w:w="2919" w:type="dxa"/>
            <w:tcBorders>
              <w:top w:val="nil"/>
              <w:left w:val="nil"/>
              <w:bottom w:val="single" w:sz="4" w:space="0" w:color="C0C0C0"/>
              <w:right w:val="single" w:sz="4" w:space="0" w:color="000080"/>
            </w:tcBorders>
            <w:shd w:val="clear" w:color="auto" w:fill="auto"/>
            <w:vAlign w:val="center"/>
            <w:hideMark/>
          </w:tcPr>
          <w:p w14:paraId="0C03C0E5"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92223</w:t>
            </w:r>
          </w:p>
        </w:tc>
        <w:tc>
          <w:tcPr>
            <w:tcW w:w="1462" w:type="dxa"/>
            <w:tcBorders>
              <w:top w:val="nil"/>
              <w:left w:val="nil"/>
              <w:bottom w:val="single" w:sz="4" w:space="0" w:color="C0C0C0"/>
              <w:right w:val="single" w:sz="4" w:space="0" w:color="000080"/>
            </w:tcBorders>
            <w:shd w:val="clear" w:color="auto" w:fill="auto"/>
            <w:noWrap/>
            <w:vAlign w:val="center"/>
            <w:hideMark/>
          </w:tcPr>
          <w:p w14:paraId="070BD17C"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6B703B2D"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4B9B2D96"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43CCAB76"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37A40E76"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 xml:space="preserve"> </w:t>
            </w:r>
          </w:p>
        </w:tc>
        <w:tc>
          <w:tcPr>
            <w:tcW w:w="5157" w:type="dxa"/>
            <w:tcBorders>
              <w:top w:val="nil"/>
              <w:left w:val="nil"/>
              <w:bottom w:val="single" w:sz="4" w:space="0" w:color="C0C0C0"/>
              <w:right w:val="single" w:sz="4" w:space="0" w:color="000080"/>
            </w:tcBorders>
            <w:shd w:val="clear" w:color="auto" w:fill="auto"/>
            <w:vAlign w:val="center"/>
            <w:hideMark/>
          </w:tcPr>
          <w:p w14:paraId="2BCBA467"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UKUPNI PRIHODI I PRIMICI (šifre X067+8)</w:t>
            </w:r>
          </w:p>
        </w:tc>
        <w:tc>
          <w:tcPr>
            <w:tcW w:w="2919" w:type="dxa"/>
            <w:tcBorders>
              <w:top w:val="nil"/>
              <w:left w:val="nil"/>
              <w:bottom w:val="single" w:sz="4" w:space="0" w:color="C0C0C0"/>
              <w:right w:val="single" w:sz="4" w:space="0" w:color="000080"/>
            </w:tcBorders>
            <w:shd w:val="clear" w:color="auto" w:fill="auto"/>
            <w:vAlign w:val="center"/>
            <w:hideMark/>
          </w:tcPr>
          <w:p w14:paraId="3E6ECD99"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X678</w:t>
            </w:r>
          </w:p>
        </w:tc>
        <w:tc>
          <w:tcPr>
            <w:tcW w:w="1462" w:type="dxa"/>
            <w:tcBorders>
              <w:top w:val="nil"/>
              <w:left w:val="nil"/>
              <w:bottom w:val="single" w:sz="4" w:space="0" w:color="C0C0C0"/>
              <w:right w:val="single" w:sz="4" w:space="0" w:color="000080"/>
            </w:tcBorders>
            <w:shd w:val="clear" w:color="auto" w:fill="auto"/>
            <w:noWrap/>
            <w:vAlign w:val="center"/>
            <w:hideMark/>
          </w:tcPr>
          <w:p w14:paraId="3BD239AE"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1.235.927.288,88</w:t>
            </w:r>
          </w:p>
        </w:tc>
        <w:tc>
          <w:tcPr>
            <w:tcW w:w="1462" w:type="dxa"/>
            <w:tcBorders>
              <w:top w:val="nil"/>
              <w:left w:val="nil"/>
              <w:bottom w:val="single" w:sz="4" w:space="0" w:color="C0C0C0"/>
              <w:right w:val="single" w:sz="4" w:space="0" w:color="000080"/>
            </w:tcBorders>
            <w:shd w:val="clear" w:color="auto" w:fill="auto"/>
            <w:noWrap/>
            <w:vAlign w:val="center"/>
            <w:hideMark/>
          </w:tcPr>
          <w:p w14:paraId="0AFB8C8D"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1.410.426.546,22</w:t>
            </w:r>
          </w:p>
        </w:tc>
        <w:tc>
          <w:tcPr>
            <w:tcW w:w="1574" w:type="dxa"/>
            <w:tcBorders>
              <w:top w:val="nil"/>
              <w:left w:val="nil"/>
              <w:bottom w:val="single" w:sz="4" w:space="0" w:color="C0C0C0"/>
              <w:right w:val="single" w:sz="4" w:space="0" w:color="000000"/>
            </w:tcBorders>
            <w:shd w:val="clear" w:color="auto" w:fill="auto"/>
            <w:noWrap/>
            <w:vAlign w:val="center"/>
            <w:hideMark/>
          </w:tcPr>
          <w:p w14:paraId="6F4BA382"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114,1</w:t>
            </w:r>
          </w:p>
        </w:tc>
      </w:tr>
      <w:tr w:rsidR="00A920E6" w:rsidRPr="00A920E6" w14:paraId="1B4270E4"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1DDAA3D0"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 xml:space="preserve"> </w:t>
            </w:r>
          </w:p>
        </w:tc>
        <w:tc>
          <w:tcPr>
            <w:tcW w:w="5157" w:type="dxa"/>
            <w:tcBorders>
              <w:top w:val="nil"/>
              <w:left w:val="nil"/>
              <w:bottom w:val="single" w:sz="4" w:space="0" w:color="C0C0C0"/>
              <w:right w:val="single" w:sz="4" w:space="0" w:color="000080"/>
            </w:tcBorders>
            <w:shd w:val="clear" w:color="auto" w:fill="auto"/>
            <w:vAlign w:val="center"/>
            <w:hideMark/>
          </w:tcPr>
          <w:p w14:paraId="67CB2326"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UKUPNI RASHODI I IZDACI (šifre Y034+5)</w:t>
            </w:r>
          </w:p>
        </w:tc>
        <w:tc>
          <w:tcPr>
            <w:tcW w:w="2919" w:type="dxa"/>
            <w:tcBorders>
              <w:top w:val="nil"/>
              <w:left w:val="nil"/>
              <w:bottom w:val="single" w:sz="4" w:space="0" w:color="C0C0C0"/>
              <w:right w:val="single" w:sz="4" w:space="0" w:color="000080"/>
            </w:tcBorders>
            <w:shd w:val="clear" w:color="auto" w:fill="auto"/>
            <w:vAlign w:val="center"/>
            <w:hideMark/>
          </w:tcPr>
          <w:p w14:paraId="771058AB"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Y345</w:t>
            </w:r>
          </w:p>
        </w:tc>
        <w:tc>
          <w:tcPr>
            <w:tcW w:w="1462" w:type="dxa"/>
            <w:tcBorders>
              <w:top w:val="nil"/>
              <w:left w:val="nil"/>
              <w:bottom w:val="single" w:sz="4" w:space="0" w:color="C0C0C0"/>
              <w:right w:val="single" w:sz="4" w:space="0" w:color="000080"/>
            </w:tcBorders>
            <w:shd w:val="clear" w:color="auto" w:fill="auto"/>
            <w:noWrap/>
            <w:vAlign w:val="center"/>
            <w:hideMark/>
          </w:tcPr>
          <w:p w14:paraId="49269F97"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1.227.587.503,92</w:t>
            </w:r>
          </w:p>
        </w:tc>
        <w:tc>
          <w:tcPr>
            <w:tcW w:w="1462" w:type="dxa"/>
            <w:tcBorders>
              <w:top w:val="nil"/>
              <w:left w:val="nil"/>
              <w:bottom w:val="single" w:sz="4" w:space="0" w:color="C0C0C0"/>
              <w:right w:val="single" w:sz="4" w:space="0" w:color="000080"/>
            </w:tcBorders>
            <w:shd w:val="clear" w:color="auto" w:fill="auto"/>
            <w:noWrap/>
            <w:vAlign w:val="center"/>
            <w:hideMark/>
          </w:tcPr>
          <w:p w14:paraId="69C54D47"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1.415.178.036,81</w:t>
            </w:r>
          </w:p>
        </w:tc>
        <w:tc>
          <w:tcPr>
            <w:tcW w:w="1574" w:type="dxa"/>
            <w:tcBorders>
              <w:top w:val="nil"/>
              <w:left w:val="nil"/>
              <w:bottom w:val="single" w:sz="4" w:space="0" w:color="C0C0C0"/>
              <w:right w:val="single" w:sz="4" w:space="0" w:color="000000"/>
            </w:tcBorders>
            <w:shd w:val="clear" w:color="auto" w:fill="auto"/>
            <w:noWrap/>
            <w:vAlign w:val="center"/>
            <w:hideMark/>
          </w:tcPr>
          <w:p w14:paraId="51328C6F"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115,3</w:t>
            </w:r>
          </w:p>
        </w:tc>
      </w:tr>
      <w:tr w:rsidR="00A920E6" w:rsidRPr="00A920E6" w14:paraId="2763E7E2"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5EF1AA40"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 xml:space="preserve"> </w:t>
            </w:r>
          </w:p>
        </w:tc>
        <w:tc>
          <w:tcPr>
            <w:tcW w:w="5157" w:type="dxa"/>
            <w:tcBorders>
              <w:top w:val="nil"/>
              <w:left w:val="nil"/>
              <w:bottom w:val="single" w:sz="4" w:space="0" w:color="C0C0C0"/>
              <w:right w:val="single" w:sz="4" w:space="0" w:color="000080"/>
            </w:tcBorders>
            <w:shd w:val="clear" w:color="auto" w:fill="auto"/>
            <w:vAlign w:val="center"/>
            <w:hideMark/>
          </w:tcPr>
          <w:p w14:paraId="781D47C4"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VIŠAK PRIHODA I PRIMITAKA (šifre X678-Y345)</w:t>
            </w:r>
          </w:p>
        </w:tc>
        <w:tc>
          <w:tcPr>
            <w:tcW w:w="2919" w:type="dxa"/>
            <w:tcBorders>
              <w:top w:val="nil"/>
              <w:left w:val="nil"/>
              <w:bottom w:val="single" w:sz="4" w:space="0" w:color="C0C0C0"/>
              <w:right w:val="single" w:sz="4" w:space="0" w:color="000080"/>
            </w:tcBorders>
            <w:shd w:val="clear" w:color="auto" w:fill="auto"/>
            <w:vAlign w:val="center"/>
            <w:hideMark/>
          </w:tcPr>
          <w:p w14:paraId="16572756"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X005</w:t>
            </w:r>
          </w:p>
        </w:tc>
        <w:tc>
          <w:tcPr>
            <w:tcW w:w="1462" w:type="dxa"/>
            <w:tcBorders>
              <w:top w:val="nil"/>
              <w:left w:val="nil"/>
              <w:bottom w:val="single" w:sz="4" w:space="0" w:color="C0C0C0"/>
              <w:right w:val="single" w:sz="4" w:space="0" w:color="000080"/>
            </w:tcBorders>
            <w:shd w:val="clear" w:color="auto" w:fill="auto"/>
            <w:noWrap/>
            <w:vAlign w:val="center"/>
            <w:hideMark/>
          </w:tcPr>
          <w:p w14:paraId="288CCEE8"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8.339.784,96</w:t>
            </w:r>
          </w:p>
        </w:tc>
        <w:tc>
          <w:tcPr>
            <w:tcW w:w="1462" w:type="dxa"/>
            <w:tcBorders>
              <w:top w:val="nil"/>
              <w:left w:val="nil"/>
              <w:bottom w:val="single" w:sz="4" w:space="0" w:color="C0C0C0"/>
              <w:right w:val="single" w:sz="4" w:space="0" w:color="000080"/>
            </w:tcBorders>
            <w:shd w:val="clear" w:color="auto" w:fill="auto"/>
            <w:noWrap/>
            <w:vAlign w:val="center"/>
            <w:hideMark/>
          </w:tcPr>
          <w:p w14:paraId="3CEA6AC1"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080E4B1A"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0,0</w:t>
            </w:r>
          </w:p>
        </w:tc>
      </w:tr>
      <w:tr w:rsidR="00A920E6" w:rsidRPr="00A920E6" w14:paraId="1E19E897"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3EC38EDC"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 xml:space="preserve"> </w:t>
            </w:r>
          </w:p>
        </w:tc>
        <w:tc>
          <w:tcPr>
            <w:tcW w:w="5157" w:type="dxa"/>
            <w:tcBorders>
              <w:top w:val="nil"/>
              <w:left w:val="nil"/>
              <w:bottom w:val="single" w:sz="4" w:space="0" w:color="C0C0C0"/>
              <w:right w:val="single" w:sz="4" w:space="0" w:color="000080"/>
            </w:tcBorders>
            <w:shd w:val="clear" w:color="auto" w:fill="auto"/>
            <w:vAlign w:val="center"/>
            <w:hideMark/>
          </w:tcPr>
          <w:p w14:paraId="6F4C6BE1"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MANJAK PRIHODA I PRIMITAKA (šifre Y345-X678)</w:t>
            </w:r>
          </w:p>
        </w:tc>
        <w:tc>
          <w:tcPr>
            <w:tcW w:w="2919" w:type="dxa"/>
            <w:tcBorders>
              <w:top w:val="nil"/>
              <w:left w:val="nil"/>
              <w:bottom w:val="single" w:sz="4" w:space="0" w:color="C0C0C0"/>
              <w:right w:val="single" w:sz="4" w:space="0" w:color="000080"/>
            </w:tcBorders>
            <w:shd w:val="clear" w:color="auto" w:fill="auto"/>
            <w:vAlign w:val="center"/>
            <w:hideMark/>
          </w:tcPr>
          <w:p w14:paraId="61D38E66"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Y005</w:t>
            </w:r>
          </w:p>
        </w:tc>
        <w:tc>
          <w:tcPr>
            <w:tcW w:w="1462" w:type="dxa"/>
            <w:tcBorders>
              <w:top w:val="nil"/>
              <w:left w:val="nil"/>
              <w:bottom w:val="single" w:sz="4" w:space="0" w:color="C0C0C0"/>
              <w:right w:val="single" w:sz="4" w:space="0" w:color="000080"/>
            </w:tcBorders>
            <w:shd w:val="clear" w:color="auto" w:fill="auto"/>
            <w:noWrap/>
            <w:vAlign w:val="center"/>
            <w:hideMark/>
          </w:tcPr>
          <w:p w14:paraId="0C0ABC0B"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12DCB56F"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4.751.490,59</w:t>
            </w:r>
          </w:p>
        </w:tc>
        <w:tc>
          <w:tcPr>
            <w:tcW w:w="1574" w:type="dxa"/>
            <w:tcBorders>
              <w:top w:val="nil"/>
              <w:left w:val="nil"/>
              <w:bottom w:val="single" w:sz="4" w:space="0" w:color="C0C0C0"/>
              <w:right w:val="single" w:sz="4" w:space="0" w:color="000000"/>
            </w:tcBorders>
            <w:shd w:val="clear" w:color="auto" w:fill="auto"/>
            <w:noWrap/>
            <w:vAlign w:val="center"/>
            <w:hideMark/>
          </w:tcPr>
          <w:p w14:paraId="38292915"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63EF1A05"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noWrap/>
            <w:vAlign w:val="center"/>
            <w:hideMark/>
          </w:tcPr>
          <w:p w14:paraId="62FCBA27"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9221-9222</w:t>
            </w:r>
          </w:p>
        </w:tc>
        <w:tc>
          <w:tcPr>
            <w:tcW w:w="5157" w:type="dxa"/>
            <w:tcBorders>
              <w:top w:val="nil"/>
              <w:left w:val="nil"/>
              <w:bottom w:val="single" w:sz="4" w:space="0" w:color="C0C0C0"/>
              <w:right w:val="single" w:sz="4" w:space="0" w:color="000080"/>
            </w:tcBorders>
            <w:shd w:val="clear" w:color="auto" w:fill="auto"/>
            <w:vAlign w:val="center"/>
            <w:hideMark/>
          </w:tcPr>
          <w:p w14:paraId="147E4715"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Višak prihoda i primitaka - preneseni (šifre '9221x,9222x VP' - '9221x,9222x MP' + 92213 - 92223)</w:t>
            </w:r>
          </w:p>
        </w:tc>
        <w:tc>
          <w:tcPr>
            <w:tcW w:w="2919" w:type="dxa"/>
            <w:tcBorders>
              <w:top w:val="nil"/>
              <w:left w:val="nil"/>
              <w:bottom w:val="single" w:sz="4" w:space="0" w:color="C0C0C0"/>
              <w:right w:val="single" w:sz="4" w:space="0" w:color="000080"/>
            </w:tcBorders>
            <w:shd w:val="clear" w:color="auto" w:fill="auto"/>
            <w:noWrap/>
            <w:vAlign w:val="center"/>
            <w:hideMark/>
          </w:tcPr>
          <w:p w14:paraId="4B79AD18"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9221-9222</w:t>
            </w:r>
          </w:p>
        </w:tc>
        <w:tc>
          <w:tcPr>
            <w:tcW w:w="1462" w:type="dxa"/>
            <w:tcBorders>
              <w:top w:val="nil"/>
              <w:left w:val="nil"/>
              <w:bottom w:val="single" w:sz="4" w:space="0" w:color="C0C0C0"/>
              <w:right w:val="single" w:sz="4" w:space="0" w:color="000080"/>
            </w:tcBorders>
            <w:shd w:val="clear" w:color="auto" w:fill="auto"/>
            <w:noWrap/>
            <w:vAlign w:val="center"/>
            <w:hideMark/>
          </w:tcPr>
          <w:p w14:paraId="15F261F7"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7.442.151,81</w:t>
            </w:r>
          </w:p>
        </w:tc>
        <w:tc>
          <w:tcPr>
            <w:tcW w:w="1462" w:type="dxa"/>
            <w:tcBorders>
              <w:top w:val="nil"/>
              <w:left w:val="nil"/>
              <w:bottom w:val="single" w:sz="4" w:space="0" w:color="C0C0C0"/>
              <w:right w:val="single" w:sz="4" w:space="0" w:color="000080"/>
            </w:tcBorders>
            <w:shd w:val="clear" w:color="auto" w:fill="auto"/>
            <w:noWrap/>
            <w:vAlign w:val="center"/>
            <w:hideMark/>
          </w:tcPr>
          <w:p w14:paraId="0EA4F7F5"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15.867.920,18</w:t>
            </w:r>
          </w:p>
        </w:tc>
        <w:tc>
          <w:tcPr>
            <w:tcW w:w="1574" w:type="dxa"/>
            <w:tcBorders>
              <w:top w:val="nil"/>
              <w:left w:val="nil"/>
              <w:bottom w:val="single" w:sz="4" w:space="0" w:color="C0C0C0"/>
              <w:right w:val="single" w:sz="4" w:space="0" w:color="000000"/>
            </w:tcBorders>
            <w:shd w:val="clear" w:color="auto" w:fill="auto"/>
            <w:noWrap/>
            <w:vAlign w:val="center"/>
            <w:hideMark/>
          </w:tcPr>
          <w:p w14:paraId="69C92075"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213,2</w:t>
            </w:r>
          </w:p>
        </w:tc>
      </w:tr>
      <w:tr w:rsidR="00A920E6" w:rsidRPr="00A920E6" w14:paraId="399DFA53"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noWrap/>
            <w:vAlign w:val="center"/>
            <w:hideMark/>
          </w:tcPr>
          <w:p w14:paraId="66C612C6"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9222-9221</w:t>
            </w:r>
          </w:p>
        </w:tc>
        <w:tc>
          <w:tcPr>
            <w:tcW w:w="5157" w:type="dxa"/>
            <w:tcBorders>
              <w:top w:val="nil"/>
              <w:left w:val="nil"/>
              <w:bottom w:val="single" w:sz="4" w:space="0" w:color="C0C0C0"/>
              <w:right w:val="single" w:sz="4" w:space="0" w:color="000080"/>
            </w:tcBorders>
            <w:shd w:val="clear" w:color="auto" w:fill="auto"/>
            <w:vAlign w:val="center"/>
            <w:hideMark/>
          </w:tcPr>
          <w:p w14:paraId="57CB116A"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Manjak prihoda i primitaka - preneseni (šifre '9221x,9222x MP' - '9221x,9222x VP' + 92223 - 92213)</w:t>
            </w:r>
          </w:p>
        </w:tc>
        <w:tc>
          <w:tcPr>
            <w:tcW w:w="2919" w:type="dxa"/>
            <w:tcBorders>
              <w:top w:val="nil"/>
              <w:left w:val="nil"/>
              <w:bottom w:val="single" w:sz="4" w:space="0" w:color="C0C0C0"/>
              <w:right w:val="single" w:sz="4" w:space="0" w:color="000080"/>
            </w:tcBorders>
            <w:shd w:val="clear" w:color="auto" w:fill="auto"/>
            <w:noWrap/>
            <w:vAlign w:val="center"/>
            <w:hideMark/>
          </w:tcPr>
          <w:p w14:paraId="24680765"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9222-9221</w:t>
            </w:r>
          </w:p>
        </w:tc>
        <w:tc>
          <w:tcPr>
            <w:tcW w:w="1462" w:type="dxa"/>
            <w:tcBorders>
              <w:top w:val="nil"/>
              <w:left w:val="nil"/>
              <w:bottom w:val="single" w:sz="4" w:space="0" w:color="C0C0C0"/>
              <w:right w:val="single" w:sz="4" w:space="0" w:color="000080"/>
            </w:tcBorders>
            <w:shd w:val="clear" w:color="auto" w:fill="auto"/>
            <w:noWrap/>
            <w:vAlign w:val="center"/>
            <w:hideMark/>
          </w:tcPr>
          <w:p w14:paraId="45F07925"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356456E9"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6566F3A5"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346FE72D"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7C9925E1"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 xml:space="preserve"> </w:t>
            </w:r>
          </w:p>
        </w:tc>
        <w:tc>
          <w:tcPr>
            <w:tcW w:w="5157" w:type="dxa"/>
            <w:tcBorders>
              <w:top w:val="nil"/>
              <w:left w:val="nil"/>
              <w:bottom w:val="single" w:sz="4" w:space="0" w:color="C0C0C0"/>
              <w:right w:val="single" w:sz="4" w:space="0" w:color="000080"/>
            </w:tcBorders>
            <w:shd w:val="clear" w:color="auto" w:fill="auto"/>
            <w:vAlign w:val="center"/>
            <w:hideMark/>
          </w:tcPr>
          <w:p w14:paraId="1A4F1FE0"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Višak prihoda i primitaka raspoloživ u sljedećem razdoblju (šifre X005 + '9221-9222' - Y005 - '9222-9221')</w:t>
            </w:r>
          </w:p>
        </w:tc>
        <w:tc>
          <w:tcPr>
            <w:tcW w:w="2919" w:type="dxa"/>
            <w:tcBorders>
              <w:top w:val="nil"/>
              <w:left w:val="nil"/>
              <w:bottom w:val="single" w:sz="4" w:space="0" w:color="C0C0C0"/>
              <w:right w:val="single" w:sz="4" w:space="0" w:color="000080"/>
            </w:tcBorders>
            <w:shd w:val="clear" w:color="auto" w:fill="auto"/>
            <w:vAlign w:val="center"/>
            <w:hideMark/>
          </w:tcPr>
          <w:p w14:paraId="6886A705"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X006</w:t>
            </w:r>
          </w:p>
        </w:tc>
        <w:tc>
          <w:tcPr>
            <w:tcW w:w="1462" w:type="dxa"/>
            <w:tcBorders>
              <w:top w:val="nil"/>
              <w:left w:val="nil"/>
              <w:bottom w:val="single" w:sz="4" w:space="0" w:color="C0C0C0"/>
              <w:right w:val="single" w:sz="4" w:space="0" w:color="000080"/>
            </w:tcBorders>
            <w:shd w:val="clear" w:color="auto" w:fill="auto"/>
            <w:noWrap/>
            <w:vAlign w:val="center"/>
            <w:hideMark/>
          </w:tcPr>
          <w:p w14:paraId="10C25212"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15.781.936,77</w:t>
            </w:r>
          </w:p>
        </w:tc>
        <w:tc>
          <w:tcPr>
            <w:tcW w:w="1462" w:type="dxa"/>
            <w:tcBorders>
              <w:top w:val="nil"/>
              <w:left w:val="nil"/>
              <w:bottom w:val="single" w:sz="4" w:space="0" w:color="C0C0C0"/>
              <w:right w:val="single" w:sz="4" w:space="0" w:color="000080"/>
            </w:tcBorders>
            <w:shd w:val="clear" w:color="auto" w:fill="auto"/>
            <w:noWrap/>
            <w:vAlign w:val="center"/>
            <w:hideMark/>
          </w:tcPr>
          <w:p w14:paraId="09D33B8F"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11.116.429,59</w:t>
            </w:r>
          </w:p>
        </w:tc>
        <w:tc>
          <w:tcPr>
            <w:tcW w:w="1574" w:type="dxa"/>
            <w:tcBorders>
              <w:top w:val="nil"/>
              <w:left w:val="nil"/>
              <w:bottom w:val="single" w:sz="4" w:space="0" w:color="C0C0C0"/>
              <w:right w:val="single" w:sz="4" w:space="0" w:color="000000"/>
            </w:tcBorders>
            <w:shd w:val="clear" w:color="auto" w:fill="auto"/>
            <w:noWrap/>
            <w:vAlign w:val="center"/>
            <w:hideMark/>
          </w:tcPr>
          <w:p w14:paraId="07A08736"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70,4</w:t>
            </w:r>
          </w:p>
        </w:tc>
      </w:tr>
      <w:tr w:rsidR="00A920E6" w:rsidRPr="00A920E6" w14:paraId="682427D7"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44048AE8"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 xml:space="preserve"> </w:t>
            </w:r>
          </w:p>
        </w:tc>
        <w:tc>
          <w:tcPr>
            <w:tcW w:w="5157" w:type="dxa"/>
            <w:tcBorders>
              <w:top w:val="nil"/>
              <w:left w:val="nil"/>
              <w:bottom w:val="single" w:sz="4" w:space="0" w:color="C0C0C0"/>
              <w:right w:val="single" w:sz="4" w:space="0" w:color="000080"/>
            </w:tcBorders>
            <w:shd w:val="clear" w:color="auto" w:fill="auto"/>
            <w:vAlign w:val="center"/>
            <w:hideMark/>
          </w:tcPr>
          <w:p w14:paraId="7D51ACC9"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Manjak prihoda i primitaka za pokriće u sljedećem razdoblju (šifre Y005 + '9222-9221' - X005 - '9221-9222' )</w:t>
            </w:r>
          </w:p>
        </w:tc>
        <w:tc>
          <w:tcPr>
            <w:tcW w:w="2919" w:type="dxa"/>
            <w:tcBorders>
              <w:top w:val="nil"/>
              <w:left w:val="nil"/>
              <w:bottom w:val="single" w:sz="4" w:space="0" w:color="C0C0C0"/>
              <w:right w:val="single" w:sz="4" w:space="0" w:color="000080"/>
            </w:tcBorders>
            <w:shd w:val="clear" w:color="auto" w:fill="auto"/>
            <w:vAlign w:val="center"/>
            <w:hideMark/>
          </w:tcPr>
          <w:p w14:paraId="415E984D"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Y006</w:t>
            </w:r>
          </w:p>
        </w:tc>
        <w:tc>
          <w:tcPr>
            <w:tcW w:w="1462" w:type="dxa"/>
            <w:tcBorders>
              <w:top w:val="nil"/>
              <w:left w:val="nil"/>
              <w:bottom w:val="single" w:sz="4" w:space="0" w:color="C0C0C0"/>
              <w:right w:val="single" w:sz="4" w:space="0" w:color="000080"/>
            </w:tcBorders>
            <w:shd w:val="clear" w:color="auto" w:fill="auto"/>
            <w:noWrap/>
            <w:vAlign w:val="center"/>
            <w:hideMark/>
          </w:tcPr>
          <w:p w14:paraId="6505906C"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21825FE5"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21A593CF"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0BD9CA38" w14:textId="77777777" w:rsidTr="00145A75">
        <w:trPr>
          <w:trHeight w:val="480"/>
        </w:trPr>
        <w:tc>
          <w:tcPr>
            <w:tcW w:w="1318" w:type="dxa"/>
            <w:tcBorders>
              <w:top w:val="nil"/>
              <w:left w:val="single" w:sz="4" w:space="0" w:color="000000"/>
              <w:bottom w:val="single" w:sz="4" w:space="0" w:color="000000"/>
              <w:right w:val="single" w:sz="4" w:space="0" w:color="000080"/>
            </w:tcBorders>
            <w:shd w:val="clear" w:color="auto" w:fill="auto"/>
            <w:vAlign w:val="center"/>
            <w:hideMark/>
          </w:tcPr>
          <w:p w14:paraId="4E19536C"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19</w:t>
            </w:r>
          </w:p>
        </w:tc>
        <w:tc>
          <w:tcPr>
            <w:tcW w:w="5157" w:type="dxa"/>
            <w:tcBorders>
              <w:top w:val="nil"/>
              <w:left w:val="nil"/>
              <w:bottom w:val="single" w:sz="4" w:space="0" w:color="000000"/>
              <w:right w:val="single" w:sz="4" w:space="0" w:color="000080"/>
            </w:tcBorders>
            <w:shd w:val="clear" w:color="auto" w:fill="auto"/>
            <w:vAlign w:val="center"/>
            <w:hideMark/>
          </w:tcPr>
          <w:p w14:paraId="3CA23ACA"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Rashodi budućih razdoblja i nedospjela naplata prihoda (aktivna vremenska razgraničenja)</w:t>
            </w:r>
          </w:p>
        </w:tc>
        <w:tc>
          <w:tcPr>
            <w:tcW w:w="2919" w:type="dxa"/>
            <w:tcBorders>
              <w:top w:val="nil"/>
              <w:left w:val="nil"/>
              <w:bottom w:val="single" w:sz="4" w:space="0" w:color="000000"/>
              <w:right w:val="single" w:sz="4" w:space="0" w:color="000080"/>
            </w:tcBorders>
            <w:shd w:val="clear" w:color="auto" w:fill="auto"/>
            <w:vAlign w:val="center"/>
            <w:hideMark/>
          </w:tcPr>
          <w:p w14:paraId="36B62815"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19</w:t>
            </w:r>
          </w:p>
        </w:tc>
        <w:tc>
          <w:tcPr>
            <w:tcW w:w="1462" w:type="dxa"/>
            <w:tcBorders>
              <w:top w:val="nil"/>
              <w:left w:val="nil"/>
              <w:bottom w:val="single" w:sz="4" w:space="0" w:color="000000"/>
              <w:right w:val="single" w:sz="4" w:space="0" w:color="000080"/>
            </w:tcBorders>
            <w:shd w:val="clear" w:color="auto" w:fill="auto"/>
            <w:noWrap/>
            <w:vAlign w:val="center"/>
            <w:hideMark/>
          </w:tcPr>
          <w:p w14:paraId="052C7929"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34.850.833,68</w:t>
            </w:r>
          </w:p>
        </w:tc>
        <w:tc>
          <w:tcPr>
            <w:tcW w:w="1462" w:type="dxa"/>
            <w:tcBorders>
              <w:top w:val="nil"/>
              <w:left w:val="nil"/>
              <w:bottom w:val="single" w:sz="4" w:space="0" w:color="000000"/>
              <w:right w:val="single" w:sz="4" w:space="0" w:color="000080"/>
            </w:tcBorders>
            <w:shd w:val="clear" w:color="auto" w:fill="auto"/>
            <w:noWrap/>
            <w:vAlign w:val="center"/>
            <w:hideMark/>
          </w:tcPr>
          <w:p w14:paraId="1630D0F8"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549.804,92</w:t>
            </w:r>
          </w:p>
        </w:tc>
        <w:tc>
          <w:tcPr>
            <w:tcW w:w="1574" w:type="dxa"/>
            <w:tcBorders>
              <w:top w:val="nil"/>
              <w:left w:val="nil"/>
              <w:bottom w:val="single" w:sz="4" w:space="0" w:color="000000"/>
              <w:right w:val="single" w:sz="4" w:space="0" w:color="000000"/>
            </w:tcBorders>
            <w:shd w:val="clear" w:color="auto" w:fill="auto"/>
            <w:noWrap/>
            <w:vAlign w:val="center"/>
            <w:hideMark/>
          </w:tcPr>
          <w:p w14:paraId="69CD80F9"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1,6</w:t>
            </w:r>
          </w:p>
        </w:tc>
      </w:tr>
      <w:tr w:rsidR="00A920E6" w:rsidRPr="00A920E6" w14:paraId="08762B78" w14:textId="77777777" w:rsidTr="00145A75">
        <w:trPr>
          <w:trHeight w:val="402"/>
        </w:trPr>
        <w:tc>
          <w:tcPr>
            <w:tcW w:w="6475" w:type="dxa"/>
            <w:gridSpan w:val="2"/>
            <w:tcBorders>
              <w:top w:val="single" w:sz="4" w:space="0" w:color="000000"/>
              <w:left w:val="single" w:sz="4" w:space="0" w:color="000000"/>
              <w:bottom w:val="single" w:sz="4" w:space="0" w:color="C0C0C0"/>
              <w:right w:val="single" w:sz="4" w:space="0" w:color="000080"/>
            </w:tcBorders>
            <w:shd w:val="clear" w:color="DBE5F1" w:fill="DBE5F1"/>
            <w:vAlign w:val="center"/>
            <w:hideMark/>
          </w:tcPr>
          <w:p w14:paraId="3D2F8030" w14:textId="77777777" w:rsidR="00A920E6" w:rsidRPr="00A920E6" w:rsidRDefault="00A920E6" w:rsidP="00A920E6">
            <w:pPr>
              <w:rPr>
                <w:rFonts w:ascii="Arial" w:hAnsi="Arial" w:cs="Arial"/>
                <w:b/>
                <w:bCs/>
                <w:color w:val="0C0C0C"/>
              </w:rPr>
            </w:pPr>
            <w:r w:rsidRPr="00A920E6">
              <w:rPr>
                <w:rFonts w:ascii="Arial" w:hAnsi="Arial" w:cs="Arial"/>
                <w:b/>
                <w:bCs/>
                <w:color w:val="0C0C0C"/>
              </w:rPr>
              <w:t>Obvezni analitički podaci</w:t>
            </w:r>
          </w:p>
        </w:tc>
        <w:tc>
          <w:tcPr>
            <w:tcW w:w="2919" w:type="dxa"/>
            <w:tcBorders>
              <w:top w:val="nil"/>
              <w:left w:val="single" w:sz="4" w:space="0" w:color="000000"/>
              <w:bottom w:val="single" w:sz="4" w:space="0" w:color="C0C0C0"/>
              <w:right w:val="nil"/>
            </w:tcBorders>
            <w:shd w:val="clear" w:color="DBE5F1" w:fill="DBE5F1"/>
            <w:vAlign w:val="center"/>
            <w:hideMark/>
          </w:tcPr>
          <w:p w14:paraId="625593F7" w14:textId="77777777" w:rsidR="00A920E6" w:rsidRPr="00A920E6" w:rsidRDefault="00A920E6" w:rsidP="00A920E6">
            <w:pPr>
              <w:rPr>
                <w:rFonts w:ascii="Arial" w:hAnsi="Arial" w:cs="Arial"/>
                <w:b/>
                <w:bCs/>
                <w:color w:val="0C0C0C"/>
              </w:rPr>
            </w:pPr>
            <w:r w:rsidRPr="00A920E6">
              <w:rPr>
                <w:rFonts w:ascii="Arial" w:hAnsi="Arial" w:cs="Arial"/>
                <w:b/>
                <w:bCs/>
                <w:color w:val="0C0C0C"/>
              </w:rPr>
              <w:t> </w:t>
            </w:r>
          </w:p>
        </w:tc>
        <w:tc>
          <w:tcPr>
            <w:tcW w:w="1462" w:type="dxa"/>
            <w:tcBorders>
              <w:top w:val="nil"/>
              <w:left w:val="single" w:sz="4" w:space="0" w:color="000080"/>
              <w:bottom w:val="single" w:sz="4" w:space="0" w:color="C0C0C0"/>
              <w:right w:val="single" w:sz="4" w:space="0" w:color="000080"/>
            </w:tcBorders>
            <w:shd w:val="clear" w:color="DBE5F1" w:fill="DBE5F1"/>
            <w:noWrap/>
            <w:vAlign w:val="center"/>
            <w:hideMark/>
          </w:tcPr>
          <w:p w14:paraId="081A6577" w14:textId="77777777" w:rsidR="00A920E6" w:rsidRPr="00A920E6" w:rsidRDefault="00A920E6" w:rsidP="00A920E6">
            <w:pPr>
              <w:rPr>
                <w:rFonts w:ascii="Arial" w:hAnsi="Arial" w:cs="Arial"/>
                <w:b/>
                <w:bCs/>
                <w:color w:val="0C0C0C"/>
                <w:sz w:val="16"/>
                <w:szCs w:val="16"/>
              </w:rPr>
            </w:pPr>
            <w:r w:rsidRPr="00A920E6">
              <w:rPr>
                <w:rFonts w:ascii="Arial" w:hAnsi="Arial" w:cs="Arial"/>
                <w:b/>
                <w:bCs/>
                <w:color w:val="0C0C0C"/>
                <w:sz w:val="16"/>
                <w:szCs w:val="16"/>
              </w:rPr>
              <w:t> </w:t>
            </w:r>
          </w:p>
        </w:tc>
        <w:tc>
          <w:tcPr>
            <w:tcW w:w="1462" w:type="dxa"/>
            <w:tcBorders>
              <w:top w:val="nil"/>
              <w:left w:val="nil"/>
              <w:bottom w:val="single" w:sz="4" w:space="0" w:color="C0C0C0"/>
              <w:right w:val="single" w:sz="4" w:space="0" w:color="000080"/>
            </w:tcBorders>
            <w:shd w:val="clear" w:color="DBE5F1" w:fill="DBE5F1"/>
            <w:noWrap/>
            <w:vAlign w:val="center"/>
            <w:hideMark/>
          </w:tcPr>
          <w:p w14:paraId="77B34DEF" w14:textId="77777777" w:rsidR="00A920E6" w:rsidRPr="00A920E6" w:rsidRDefault="00A920E6" w:rsidP="00A920E6">
            <w:pPr>
              <w:rPr>
                <w:rFonts w:ascii="Arial" w:hAnsi="Arial" w:cs="Arial"/>
                <w:b/>
                <w:bCs/>
                <w:color w:val="0C0C0C"/>
                <w:sz w:val="16"/>
                <w:szCs w:val="16"/>
              </w:rPr>
            </w:pPr>
            <w:r w:rsidRPr="00A920E6">
              <w:rPr>
                <w:rFonts w:ascii="Arial" w:hAnsi="Arial" w:cs="Arial"/>
                <w:b/>
                <w:bCs/>
                <w:color w:val="0C0C0C"/>
                <w:sz w:val="16"/>
                <w:szCs w:val="16"/>
              </w:rPr>
              <w:t> </w:t>
            </w:r>
          </w:p>
        </w:tc>
        <w:tc>
          <w:tcPr>
            <w:tcW w:w="1574" w:type="dxa"/>
            <w:tcBorders>
              <w:top w:val="nil"/>
              <w:left w:val="nil"/>
              <w:bottom w:val="single" w:sz="4" w:space="0" w:color="C0C0C0"/>
              <w:right w:val="single" w:sz="4" w:space="0" w:color="000000"/>
            </w:tcBorders>
            <w:shd w:val="clear" w:color="DBE5F1" w:fill="DBE5F1"/>
            <w:noWrap/>
            <w:vAlign w:val="center"/>
            <w:hideMark/>
          </w:tcPr>
          <w:p w14:paraId="34C1C382" w14:textId="77777777" w:rsidR="00A920E6" w:rsidRPr="00A920E6" w:rsidRDefault="00A920E6" w:rsidP="00A920E6">
            <w:pPr>
              <w:rPr>
                <w:rFonts w:ascii="Arial" w:hAnsi="Arial" w:cs="Arial"/>
                <w:b/>
                <w:bCs/>
                <w:color w:val="0C0C0C"/>
                <w:sz w:val="16"/>
                <w:szCs w:val="16"/>
              </w:rPr>
            </w:pPr>
            <w:r w:rsidRPr="00A920E6">
              <w:rPr>
                <w:rFonts w:ascii="Arial" w:hAnsi="Arial" w:cs="Arial"/>
                <w:b/>
                <w:bCs/>
                <w:color w:val="0C0C0C"/>
                <w:sz w:val="16"/>
                <w:szCs w:val="16"/>
              </w:rPr>
              <w:t> </w:t>
            </w:r>
          </w:p>
        </w:tc>
      </w:tr>
      <w:tr w:rsidR="00A920E6" w:rsidRPr="00A920E6" w14:paraId="6C3DB96B"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386E5AE2"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11</w:t>
            </w:r>
          </w:p>
        </w:tc>
        <w:tc>
          <w:tcPr>
            <w:tcW w:w="5157" w:type="dxa"/>
            <w:tcBorders>
              <w:top w:val="nil"/>
              <w:left w:val="nil"/>
              <w:bottom w:val="single" w:sz="4" w:space="0" w:color="C0C0C0"/>
              <w:right w:val="single" w:sz="4" w:space="0" w:color="000080"/>
            </w:tcBorders>
            <w:shd w:val="clear" w:color="auto" w:fill="auto"/>
            <w:vAlign w:val="center"/>
            <w:hideMark/>
          </w:tcPr>
          <w:p w14:paraId="7CA16418"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Stanje novčanih sredstava na početku izvještajnog razdoblja</w:t>
            </w:r>
          </w:p>
        </w:tc>
        <w:tc>
          <w:tcPr>
            <w:tcW w:w="2919" w:type="dxa"/>
            <w:tcBorders>
              <w:top w:val="nil"/>
              <w:left w:val="nil"/>
              <w:bottom w:val="single" w:sz="4" w:space="0" w:color="C0C0C0"/>
              <w:right w:val="single" w:sz="4" w:space="0" w:color="000080"/>
            </w:tcBorders>
            <w:shd w:val="clear" w:color="auto" w:fill="auto"/>
            <w:vAlign w:val="center"/>
            <w:hideMark/>
          </w:tcPr>
          <w:p w14:paraId="5689DE4F"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11P</w:t>
            </w:r>
          </w:p>
        </w:tc>
        <w:tc>
          <w:tcPr>
            <w:tcW w:w="1462" w:type="dxa"/>
            <w:tcBorders>
              <w:top w:val="nil"/>
              <w:left w:val="nil"/>
              <w:bottom w:val="single" w:sz="4" w:space="0" w:color="C0C0C0"/>
              <w:right w:val="single" w:sz="4" w:space="0" w:color="000080"/>
            </w:tcBorders>
            <w:shd w:val="clear" w:color="auto" w:fill="auto"/>
            <w:noWrap/>
            <w:vAlign w:val="center"/>
            <w:hideMark/>
          </w:tcPr>
          <w:p w14:paraId="022264A1"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7C7B257D"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90,00</w:t>
            </w:r>
          </w:p>
        </w:tc>
        <w:tc>
          <w:tcPr>
            <w:tcW w:w="1574" w:type="dxa"/>
            <w:tcBorders>
              <w:top w:val="nil"/>
              <w:left w:val="nil"/>
              <w:bottom w:val="single" w:sz="4" w:space="0" w:color="C0C0C0"/>
              <w:right w:val="single" w:sz="4" w:space="0" w:color="000000"/>
            </w:tcBorders>
            <w:shd w:val="clear" w:color="auto" w:fill="auto"/>
            <w:noWrap/>
            <w:vAlign w:val="center"/>
            <w:hideMark/>
          </w:tcPr>
          <w:p w14:paraId="1B5A24AD"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3B1C09CD"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16FF1D08"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11-dugov.</w:t>
            </w:r>
          </w:p>
        </w:tc>
        <w:tc>
          <w:tcPr>
            <w:tcW w:w="5157" w:type="dxa"/>
            <w:tcBorders>
              <w:top w:val="nil"/>
              <w:left w:val="nil"/>
              <w:bottom w:val="single" w:sz="4" w:space="0" w:color="C0C0C0"/>
              <w:right w:val="single" w:sz="4" w:space="0" w:color="000080"/>
            </w:tcBorders>
            <w:shd w:val="clear" w:color="auto" w:fill="auto"/>
            <w:vAlign w:val="center"/>
            <w:hideMark/>
          </w:tcPr>
          <w:p w14:paraId="540989C1"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Ukupni priljevi na novčane račune i blagajne</w:t>
            </w:r>
          </w:p>
        </w:tc>
        <w:tc>
          <w:tcPr>
            <w:tcW w:w="2919" w:type="dxa"/>
            <w:tcBorders>
              <w:top w:val="nil"/>
              <w:left w:val="nil"/>
              <w:bottom w:val="single" w:sz="4" w:space="0" w:color="C0C0C0"/>
              <w:right w:val="single" w:sz="4" w:space="0" w:color="000080"/>
            </w:tcBorders>
            <w:shd w:val="clear" w:color="auto" w:fill="auto"/>
            <w:vAlign w:val="center"/>
            <w:hideMark/>
          </w:tcPr>
          <w:p w14:paraId="0CF6A6C1"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11-dugov.</w:t>
            </w:r>
          </w:p>
        </w:tc>
        <w:tc>
          <w:tcPr>
            <w:tcW w:w="1462" w:type="dxa"/>
            <w:tcBorders>
              <w:top w:val="nil"/>
              <w:left w:val="nil"/>
              <w:bottom w:val="single" w:sz="4" w:space="0" w:color="C0C0C0"/>
              <w:right w:val="single" w:sz="4" w:space="0" w:color="000080"/>
            </w:tcBorders>
            <w:shd w:val="clear" w:color="auto" w:fill="auto"/>
            <w:noWrap/>
            <w:vAlign w:val="center"/>
            <w:hideMark/>
          </w:tcPr>
          <w:p w14:paraId="6D67F455"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29.746.166,72</w:t>
            </w:r>
          </w:p>
        </w:tc>
        <w:tc>
          <w:tcPr>
            <w:tcW w:w="1462" w:type="dxa"/>
            <w:tcBorders>
              <w:top w:val="nil"/>
              <w:left w:val="nil"/>
              <w:bottom w:val="single" w:sz="4" w:space="0" w:color="C0C0C0"/>
              <w:right w:val="single" w:sz="4" w:space="0" w:color="000080"/>
            </w:tcBorders>
            <w:shd w:val="clear" w:color="auto" w:fill="auto"/>
            <w:noWrap/>
            <w:vAlign w:val="center"/>
            <w:hideMark/>
          </w:tcPr>
          <w:p w14:paraId="48153FE3"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32.043.921,71</w:t>
            </w:r>
          </w:p>
        </w:tc>
        <w:tc>
          <w:tcPr>
            <w:tcW w:w="1574" w:type="dxa"/>
            <w:tcBorders>
              <w:top w:val="nil"/>
              <w:left w:val="nil"/>
              <w:bottom w:val="single" w:sz="4" w:space="0" w:color="C0C0C0"/>
              <w:right w:val="single" w:sz="4" w:space="0" w:color="000000"/>
            </w:tcBorders>
            <w:shd w:val="clear" w:color="auto" w:fill="auto"/>
            <w:noWrap/>
            <w:vAlign w:val="center"/>
            <w:hideMark/>
          </w:tcPr>
          <w:p w14:paraId="7240CD97"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107,7</w:t>
            </w:r>
          </w:p>
        </w:tc>
      </w:tr>
      <w:tr w:rsidR="00A920E6" w:rsidRPr="00A920E6" w14:paraId="23A8DDC9"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3DB0BF56"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11-potraž.</w:t>
            </w:r>
          </w:p>
        </w:tc>
        <w:tc>
          <w:tcPr>
            <w:tcW w:w="5157" w:type="dxa"/>
            <w:tcBorders>
              <w:top w:val="nil"/>
              <w:left w:val="nil"/>
              <w:bottom w:val="single" w:sz="4" w:space="0" w:color="C0C0C0"/>
              <w:right w:val="single" w:sz="4" w:space="0" w:color="000080"/>
            </w:tcBorders>
            <w:shd w:val="clear" w:color="auto" w:fill="auto"/>
            <w:vAlign w:val="center"/>
            <w:hideMark/>
          </w:tcPr>
          <w:p w14:paraId="40A9131E"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Ukupni odljevi s novčanih računa i blagajni</w:t>
            </w:r>
          </w:p>
        </w:tc>
        <w:tc>
          <w:tcPr>
            <w:tcW w:w="2919" w:type="dxa"/>
            <w:tcBorders>
              <w:top w:val="nil"/>
              <w:left w:val="nil"/>
              <w:bottom w:val="single" w:sz="4" w:space="0" w:color="C0C0C0"/>
              <w:right w:val="single" w:sz="4" w:space="0" w:color="000080"/>
            </w:tcBorders>
            <w:shd w:val="clear" w:color="auto" w:fill="auto"/>
            <w:vAlign w:val="center"/>
            <w:hideMark/>
          </w:tcPr>
          <w:p w14:paraId="314F4DAD"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11-potraž.</w:t>
            </w:r>
          </w:p>
        </w:tc>
        <w:tc>
          <w:tcPr>
            <w:tcW w:w="1462" w:type="dxa"/>
            <w:tcBorders>
              <w:top w:val="nil"/>
              <w:left w:val="nil"/>
              <w:bottom w:val="single" w:sz="4" w:space="0" w:color="C0C0C0"/>
              <w:right w:val="single" w:sz="4" w:space="0" w:color="000080"/>
            </w:tcBorders>
            <w:shd w:val="clear" w:color="auto" w:fill="auto"/>
            <w:noWrap/>
            <w:vAlign w:val="center"/>
            <w:hideMark/>
          </w:tcPr>
          <w:p w14:paraId="4A63AF47"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29.746.076,72</w:t>
            </w:r>
          </w:p>
        </w:tc>
        <w:tc>
          <w:tcPr>
            <w:tcW w:w="1462" w:type="dxa"/>
            <w:tcBorders>
              <w:top w:val="nil"/>
              <w:left w:val="nil"/>
              <w:bottom w:val="single" w:sz="4" w:space="0" w:color="C0C0C0"/>
              <w:right w:val="single" w:sz="4" w:space="0" w:color="000080"/>
            </w:tcBorders>
            <w:shd w:val="clear" w:color="auto" w:fill="auto"/>
            <w:noWrap/>
            <w:vAlign w:val="center"/>
            <w:hideMark/>
          </w:tcPr>
          <w:p w14:paraId="6D4810EE"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32.044.011,71</w:t>
            </w:r>
          </w:p>
        </w:tc>
        <w:tc>
          <w:tcPr>
            <w:tcW w:w="1574" w:type="dxa"/>
            <w:tcBorders>
              <w:top w:val="nil"/>
              <w:left w:val="nil"/>
              <w:bottom w:val="single" w:sz="4" w:space="0" w:color="C0C0C0"/>
              <w:right w:val="single" w:sz="4" w:space="0" w:color="000000"/>
            </w:tcBorders>
            <w:shd w:val="clear" w:color="auto" w:fill="auto"/>
            <w:noWrap/>
            <w:vAlign w:val="center"/>
            <w:hideMark/>
          </w:tcPr>
          <w:p w14:paraId="00BE6803"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107,7</w:t>
            </w:r>
          </w:p>
        </w:tc>
      </w:tr>
      <w:tr w:rsidR="00A920E6" w:rsidRPr="00A920E6" w14:paraId="63DE2590"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20511F52"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lastRenderedPageBreak/>
              <w:t>11</w:t>
            </w:r>
          </w:p>
        </w:tc>
        <w:tc>
          <w:tcPr>
            <w:tcW w:w="5157" w:type="dxa"/>
            <w:tcBorders>
              <w:top w:val="nil"/>
              <w:left w:val="nil"/>
              <w:bottom w:val="single" w:sz="4" w:space="0" w:color="C0C0C0"/>
              <w:right w:val="single" w:sz="4" w:space="0" w:color="000080"/>
            </w:tcBorders>
            <w:shd w:val="clear" w:color="auto" w:fill="auto"/>
            <w:vAlign w:val="center"/>
            <w:hideMark/>
          </w:tcPr>
          <w:p w14:paraId="632B4DB6"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Stanje novčanih sredstava na kraju izvještajnog razdoblja (šifre 11P + '11-dugov.' - '11-potraž.')</w:t>
            </w:r>
          </w:p>
        </w:tc>
        <w:tc>
          <w:tcPr>
            <w:tcW w:w="2919" w:type="dxa"/>
            <w:tcBorders>
              <w:top w:val="nil"/>
              <w:left w:val="nil"/>
              <w:bottom w:val="single" w:sz="4" w:space="0" w:color="C0C0C0"/>
              <w:right w:val="single" w:sz="4" w:space="0" w:color="000080"/>
            </w:tcBorders>
            <w:shd w:val="clear" w:color="auto" w:fill="auto"/>
            <w:vAlign w:val="center"/>
            <w:hideMark/>
          </w:tcPr>
          <w:p w14:paraId="0F513B2A"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11K</w:t>
            </w:r>
          </w:p>
        </w:tc>
        <w:tc>
          <w:tcPr>
            <w:tcW w:w="1462" w:type="dxa"/>
            <w:tcBorders>
              <w:top w:val="nil"/>
              <w:left w:val="nil"/>
              <w:bottom w:val="single" w:sz="4" w:space="0" w:color="C0C0C0"/>
              <w:right w:val="single" w:sz="4" w:space="0" w:color="000080"/>
            </w:tcBorders>
            <w:shd w:val="clear" w:color="auto" w:fill="auto"/>
            <w:noWrap/>
            <w:vAlign w:val="center"/>
            <w:hideMark/>
          </w:tcPr>
          <w:p w14:paraId="3A57759A"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90,00</w:t>
            </w:r>
          </w:p>
        </w:tc>
        <w:tc>
          <w:tcPr>
            <w:tcW w:w="1462" w:type="dxa"/>
            <w:tcBorders>
              <w:top w:val="nil"/>
              <w:left w:val="nil"/>
              <w:bottom w:val="single" w:sz="4" w:space="0" w:color="C0C0C0"/>
              <w:right w:val="single" w:sz="4" w:space="0" w:color="000080"/>
            </w:tcBorders>
            <w:shd w:val="clear" w:color="auto" w:fill="auto"/>
            <w:noWrap/>
            <w:vAlign w:val="center"/>
            <w:hideMark/>
          </w:tcPr>
          <w:p w14:paraId="48476964" w14:textId="77777777" w:rsidR="00A920E6" w:rsidRPr="00A920E6" w:rsidRDefault="00A920E6" w:rsidP="00A920E6">
            <w:pPr>
              <w:jc w:val="right"/>
              <w:rPr>
                <w:rFonts w:ascii="Arial" w:hAnsi="Arial" w:cs="Arial"/>
                <w:b/>
                <w:bCs/>
                <w:color w:val="000080"/>
                <w:sz w:val="16"/>
                <w:szCs w:val="16"/>
              </w:rPr>
            </w:pPr>
            <w:r w:rsidRPr="00A920E6">
              <w:rPr>
                <w:rFonts w:ascii="Arial" w:hAnsi="Arial" w:cs="Arial"/>
                <w:b/>
                <w:bCs/>
                <w:color w:val="000080"/>
                <w:sz w:val="16"/>
                <w:szCs w:val="16"/>
              </w:rPr>
              <w:t>0,00</w:t>
            </w:r>
          </w:p>
        </w:tc>
        <w:tc>
          <w:tcPr>
            <w:tcW w:w="1574" w:type="dxa"/>
            <w:tcBorders>
              <w:top w:val="nil"/>
              <w:left w:val="nil"/>
              <w:bottom w:val="single" w:sz="4" w:space="0" w:color="C0C0C0"/>
              <w:right w:val="single" w:sz="4" w:space="0" w:color="000000"/>
            </w:tcBorders>
            <w:shd w:val="clear" w:color="auto" w:fill="auto"/>
            <w:noWrap/>
            <w:vAlign w:val="center"/>
            <w:hideMark/>
          </w:tcPr>
          <w:p w14:paraId="76A2F000"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0,0</w:t>
            </w:r>
          </w:p>
        </w:tc>
      </w:tr>
      <w:tr w:rsidR="00A920E6" w:rsidRPr="00A920E6" w14:paraId="626D02BE"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5C53DF00"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 xml:space="preserve"> </w:t>
            </w:r>
          </w:p>
        </w:tc>
        <w:tc>
          <w:tcPr>
            <w:tcW w:w="5157" w:type="dxa"/>
            <w:tcBorders>
              <w:top w:val="nil"/>
              <w:left w:val="nil"/>
              <w:bottom w:val="single" w:sz="4" w:space="0" w:color="C0C0C0"/>
              <w:right w:val="single" w:sz="4" w:space="0" w:color="000080"/>
            </w:tcBorders>
            <w:shd w:val="clear" w:color="auto" w:fill="auto"/>
            <w:vAlign w:val="center"/>
            <w:hideMark/>
          </w:tcPr>
          <w:p w14:paraId="189EED1A"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Prosječan broj zaposlenih u tijelima na osnovi stanja na početku i na kraju izvještajnog razdoblja (cijeli broj)</w:t>
            </w:r>
          </w:p>
        </w:tc>
        <w:tc>
          <w:tcPr>
            <w:tcW w:w="2919" w:type="dxa"/>
            <w:tcBorders>
              <w:top w:val="nil"/>
              <w:left w:val="nil"/>
              <w:bottom w:val="single" w:sz="4" w:space="0" w:color="C0C0C0"/>
              <w:right w:val="single" w:sz="4" w:space="0" w:color="000080"/>
            </w:tcBorders>
            <w:shd w:val="clear" w:color="auto" w:fill="auto"/>
            <w:vAlign w:val="center"/>
            <w:hideMark/>
          </w:tcPr>
          <w:p w14:paraId="23FAB9B7"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Z006</w:t>
            </w:r>
          </w:p>
        </w:tc>
        <w:tc>
          <w:tcPr>
            <w:tcW w:w="1462" w:type="dxa"/>
            <w:tcBorders>
              <w:top w:val="nil"/>
              <w:left w:val="nil"/>
              <w:bottom w:val="single" w:sz="4" w:space="0" w:color="C0C0C0"/>
              <w:right w:val="single" w:sz="4" w:space="0" w:color="000080"/>
            </w:tcBorders>
            <w:shd w:val="clear" w:color="auto" w:fill="auto"/>
            <w:noWrap/>
            <w:vAlign w:val="center"/>
            <w:hideMark/>
          </w:tcPr>
          <w:p w14:paraId="64B36EF4"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803</w:t>
            </w:r>
          </w:p>
        </w:tc>
        <w:tc>
          <w:tcPr>
            <w:tcW w:w="1462" w:type="dxa"/>
            <w:tcBorders>
              <w:top w:val="nil"/>
              <w:left w:val="nil"/>
              <w:bottom w:val="single" w:sz="4" w:space="0" w:color="C0C0C0"/>
              <w:right w:val="single" w:sz="4" w:space="0" w:color="000080"/>
            </w:tcBorders>
            <w:shd w:val="clear" w:color="auto" w:fill="auto"/>
            <w:noWrap/>
            <w:vAlign w:val="center"/>
            <w:hideMark/>
          </w:tcPr>
          <w:p w14:paraId="52B47FCD"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821</w:t>
            </w:r>
          </w:p>
        </w:tc>
        <w:tc>
          <w:tcPr>
            <w:tcW w:w="1574" w:type="dxa"/>
            <w:tcBorders>
              <w:top w:val="nil"/>
              <w:left w:val="nil"/>
              <w:bottom w:val="single" w:sz="4" w:space="0" w:color="C0C0C0"/>
              <w:right w:val="single" w:sz="4" w:space="0" w:color="000000"/>
            </w:tcBorders>
            <w:shd w:val="clear" w:color="auto" w:fill="auto"/>
            <w:noWrap/>
            <w:vAlign w:val="center"/>
            <w:hideMark/>
          </w:tcPr>
          <w:p w14:paraId="7197AA4B"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102,2</w:t>
            </w:r>
          </w:p>
        </w:tc>
      </w:tr>
      <w:tr w:rsidR="00A920E6" w:rsidRPr="00A920E6" w14:paraId="15FEF77C"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0B0F2AD6"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 xml:space="preserve"> </w:t>
            </w:r>
          </w:p>
        </w:tc>
        <w:tc>
          <w:tcPr>
            <w:tcW w:w="5157" w:type="dxa"/>
            <w:tcBorders>
              <w:top w:val="nil"/>
              <w:left w:val="nil"/>
              <w:bottom w:val="single" w:sz="4" w:space="0" w:color="C0C0C0"/>
              <w:right w:val="single" w:sz="4" w:space="0" w:color="000080"/>
            </w:tcBorders>
            <w:shd w:val="clear" w:color="auto" w:fill="auto"/>
            <w:vAlign w:val="center"/>
            <w:hideMark/>
          </w:tcPr>
          <w:p w14:paraId="5FEB183A"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Prosječan broj zaposlenih kod korisnika na osnovi stanja na početku i na kraju izvještajnog razdoblja (cijeli broj)</w:t>
            </w:r>
          </w:p>
        </w:tc>
        <w:tc>
          <w:tcPr>
            <w:tcW w:w="2919" w:type="dxa"/>
            <w:tcBorders>
              <w:top w:val="nil"/>
              <w:left w:val="nil"/>
              <w:bottom w:val="single" w:sz="4" w:space="0" w:color="C0C0C0"/>
              <w:right w:val="single" w:sz="4" w:space="0" w:color="000080"/>
            </w:tcBorders>
            <w:shd w:val="clear" w:color="auto" w:fill="auto"/>
            <w:vAlign w:val="center"/>
            <w:hideMark/>
          </w:tcPr>
          <w:p w14:paraId="590D43A8"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Z007</w:t>
            </w:r>
          </w:p>
        </w:tc>
        <w:tc>
          <w:tcPr>
            <w:tcW w:w="1462" w:type="dxa"/>
            <w:tcBorders>
              <w:top w:val="nil"/>
              <w:left w:val="nil"/>
              <w:bottom w:val="single" w:sz="4" w:space="0" w:color="C0C0C0"/>
              <w:right w:val="single" w:sz="4" w:space="0" w:color="000080"/>
            </w:tcBorders>
            <w:shd w:val="clear" w:color="auto" w:fill="auto"/>
            <w:noWrap/>
            <w:vAlign w:val="center"/>
            <w:hideMark/>
          </w:tcPr>
          <w:p w14:paraId="6CE97505"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0</w:t>
            </w:r>
          </w:p>
        </w:tc>
        <w:tc>
          <w:tcPr>
            <w:tcW w:w="1462" w:type="dxa"/>
            <w:tcBorders>
              <w:top w:val="nil"/>
              <w:left w:val="nil"/>
              <w:bottom w:val="single" w:sz="4" w:space="0" w:color="C0C0C0"/>
              <w:right w:val="single" w:sz="4" w:space="0" w:color="000080"/>
            </w:tcBorders>
            <w:shd w:val="clear" w:color="auto" w:fill="auto"/>
            <w:noWrap/>
            <w:vAlign w:val="center"/>
            <w:hideMark/>
          </w:tcPr>
          <w:p w14:paraId="533B3DB9"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 </w:t>
            </w:r>
          </w:p>
        </w:tc>
        <w:tc>
          <w:tcPr>
            <w:tcW w:w="1574" w:type="dxa"/>
            <w:tcBorders>
              <w:top w:val="nil"/>
              <w:left w:val="nil"/>
              <w:bottom w:val="single" w:sz="4" w:space="0" w:color="C0C0C0"/>
              <w:right w:val="single" w:sz="4" w:space="0" w:color="000000"/>
            </w:tcBorders>
            <w:shd w:val="clear" w:color="auto" w:fill="auto"/>
            <w:noWrap/>
            <w:vAlign w:val="center"/>
            <w:hideMark/>
          </w:tcPr>
          <w:p w14:paraId="22BBB441"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77C1A0C6"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716909AA"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 xml:space="preserve"> </w:t>
            </w:r>
          </w:p>
        </w:tc>
        <w:tc>
          <w:tcPr>
            <w:tcW w:w="5157" w:type="dxa"/>
            <w:tcBorders>
              <w:top w:val="nil"/>
              <w:left w:val="nil"/>
              <w:bottom w:val="single" w:sz="4" w:space="0" w:color="C0C0C0"/>
              <w:right w:val="single" w:sz="4" w:space="0" w:color="000080"/>
            </w:tcBorders>
            <w:shd w:val="clear" w:color="auto" w:fill="auto"/>
            <w:vAlign w:val="center"/>
            <w:hideMark/>
          </w:tcPr>
          <w:p w14:paraId="65A4B2BF"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Prosječan broj zaposlenih u tijelima na osnovi sati rada (cijeli broj)</w:t>
            </w:r>
          </w:p>
        </w:tc>
        <w:tc>
          <w:tcPr>
            <w:tcW w:w="2919" w:type="dxa"/>
            <w:tcBorders>
              <w:top w:val="nil"/>
              <w:left w:val="nil"/>
              <w:bottom w:val="single" w:sz="4" w:space="0" w:color="C0C0C0"/>
              <w:right w:val="single" w:sz="4" w:space="0" w:color="000080"/>
            </w:tcBorders>
            <w:shd w:val="clear" w:color="auto" w:fill="auto"/>
            <w:vAlign w:val="center"/>
            <w:hideMark/>
          </w:tcPr>
          <w:p w14:paraId="7A6A2A1E"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Z008</w:t>
            </w:r>
          </w:p>
        </w:tc>
        <w:tc>
          <w:tcPr>
            <w:tcW w:w="1462" w:type="dxa"/>
            <w:tcBorders>
              <w:top w:val="nil"/>
              <w:left w:val="nil"/>
              <w:bottom w:val="single" w:sz="4" w:space="0" w:color="C0C0C0"/>
              <w:right w:val="single" w:sz="4" w:space="0" w:color="000080"/>
            </w:tcBorders>
            <w:shd w:val="clear" w:color="auto" w:fill="auto"/>
            <w:noWrap/>
            <w:vAlign w:val="center"/>
            <w:hideMark/>
          </w:tcPr>
          <w:p w14:paraId="55DEADD8"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669</w:t>
            </w:r>
          </w:p>
        </w:tc>
        <w:tc>
          <w:tcPr>
            <w:tcW w:w="1462" w:type="dxa"/>
            <w:tcBorders>
              <w:top w:val="nil"/>
              <w:left w:val="nil"/>
              <w:bottom w:val="single" w:sz="4" w:space="0" w:color="C0C0C0"/>
              <w:right w:val="single" w:sz="4" w:space="0" w:color="000080"/>
            </w:tcBorders>
            <w:shd w:val="clear" w:color="auto" w:fill="auto"/>
            <w:noWrap/>
            <w:vAlign w:val="center"/>
            <w:hideMark/>
          </w:tcPr>
          <w:p w14:paraId="5AC01581"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681</w:t>
            </w:r>
          </w:p>
        </w:tc>
        <w:tc>
          <w:tcPr>
            <w:tcW w:w="1574" w:type="dxa"/>
            <w:tcBorders>
              <w:top w:val="nil"/>
              <w:left w:val="nil"/>
              <w:bottom w:val="single" w:sz="4" w:space="0" w:color="C0C0C0"/>
              <w:right w:val="single" w:sz="4" w:space="0" w:color="000000"/>
            </w:tcBorders>
            <w:shd w:val="clear" w:color="auto" w:fill="auto"/>
            <w:noWrap/>
            <w:vAlign w:val="center"/>
            <w:hideMark/>
          </w:tcPr>
          <w:p w14:paraId="1605CE22"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101,8</w:t>
            </w:r>
          </w:p>
        </w:tc>
      </w:tr>
      <w:tr w:rsidR="00A920E6" w:rsidRPr="00A920E6" w14:paraId="30E76AE0"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5A41D57F"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 xml:space="preserve"> </w:t>
            </w:r>
          </w:p>
        </w:tc>
        <w:tc>
          <w:tcPr>
            <w:tcW w:w="5157" w:type="dxa"/>
            <w:tcBorders>
              <w:top w:val="nil"/>
              <w:left w:val="nil"/>
              <w:bottom w:val="single" w:sz="4" w:space="0" w:color="C0C0C0"/>
              <w:right w:val="single" w:sz="4" w:space="0" w:color="000080"/>
            </w:tcBorders>
            <w:shd w:val="clear" w:color="auto" w:fill="auto"/>
            <w:vAlign w:val="center"/>
            <w:hideMark/>
          </w:tcPr>
          <w:p w14:paraId="2AA855DC"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Prosječan broj zaposlenih kod korisnika na osnovi sati rada (cijeli broj)</w:t>
            </w:r>
          </w:p>
        </w:tc>
        <w:tc>
          <w:tcPr>
            <w:tcW w:w="2919" w:type="dxa"/>
            <w:tcBorders>
              <w:top w:val="nil"/>
              <w:left w:val="nil"/>
              <w:bottom w:val="single" w:sz="4" w:space="0" w:color="C0C0C0"/>
              <w:right w:val="single" w:sz="4" w:space="0" w:color="000080"/>
            </w:tcBorders>
            <w:shd w:val="clear" w:color="auto" w:fill="auto"/>
            <w:vAlign w:val="center"/>
            <w:hideMark/>
          </w:tcPr>
          <w:p w14:paraId="16F2A1E8"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Z009</w:t>
            </w:r>
          </w:p>
        </w:tc>
        <w:tc>
          <w:tcPr>
            <w:tcW w:w="1462" w:type="dxa"/>
            <w:tcBorders>
              <w:top w:val="nil"/>
              <w:left w:val="nil"/>
              <w:bottom w:val="single" w:sz="4" w:space="0" w:color="C0C0C0"/>
              <w:right w:val="single" w:sz="4" w:space="0" w:color="000080"/>
            </w:tcBorders>
            <w:shd w:val="clear" w:color="auto" w:fill="auto"/>
            <w:noWrap/>
            <w:vAlign w:val="center"/>
            <w:hideMark/>
          </w:tcPr>
          <w:p w14:paraId="7539F19B"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0</w:t>
            </w:r>
          </w:p>
        </w:tc>
        <w:tc>
          <w:tcPr>
            <w:tcW w:w="1462" w:type="dxa"/>
            <w:tcBorders>
              <w:top w:val="nil"/>
              <w:left w:val="nil"/>
              <w:bottom w:val="single" w:sz="4" w:space="0" w:color="C0C0C0"/>
              <w:right w:val="single" w:sz="4" w:space="0" w:color="000080"/>
            </w:tcBorders>
            <w:shd w:val="clear" w:color="auto" w:fill="auto"/>
            <w:noWrap/>
            <w:vAlign w:val="center"/>
            <w:hideMark/>
          </w:tcPr>
          <w:p w14:paraId="4AF6CD94"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 </w:t>
            </w:r>
          </w:p>
        </w:tc>
        <w:tc>
          <w:tcPr>
            <w:tcW w:w="1574" w:type="dxa"/>
            <w:tcBorders>
              <w:top w:val="nil"/>
              <w:left w:val="nil"/>
              <w:bottom w:val="single" w:sz="4" w:space="0" w:color="C0C0C0"/>
              <w:right w:val="single" w:sz="4" w:space="0" w:color="000000"/>
            </w:tcBorders>
            <w:shd w:val="clear" w:color="auto" w:fill="auto"/>
            <w:noWrap/>
            <w:vAlign w:val="center"/>
            <w:hideMark/>
          </w:tcPr>
          <w:p w14:paraId="793993C8"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7DA9D175"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38FBD9BC"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dio 611</w:t>
            </w:r>
          </w:p>
        </w:tc>
        <w:tc>
          <w:tcPr>
            <w:tcW w:w="5157" w:type="dxa"/>
            <w:tcBorders>
              <w:top w:val="nil"/>
              <w:left w:val="nil"/>
              <w:bottom w:val="single" w:sz="4" w:space="0" w:color="C0C0C0"/>
              <w:right w:val="single" w:sz="4" w:space="0" w:color="000080"/>
            </w:tcBorders>
            <w:shd w:val="clear" w:color="auto" w:fill="auto"/>
            <w:vAlign w:val="center"/>
            <w:hideMark/>
          </w:tcPr>
          <w:p w14:paraId="30DCCA47"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Ostvareni prihodi iz dodatnog udjela poreza na dohodak za decentralizirane funkcije</w:t>
            </w:r>
          </w:p>
        </w:tc>
        <w:tc>
          <w:tcPr>
            <w:tcW w:w="2919" w:type="dxa"/>
            <w:tcBorders>
              <w:top w:val="nil"/>
              <w:left w:val="nil"/>
              <w:bottom w:val="single" w:sz="4" w:space="0" w:color="C0C0C0"/>
              <w:right w:val="single" w:sz="4" w:space="0" w:color="000080"/>
            </w:tcBorders>
            <w:shd w:val="clear" w:color="auto" w:fill="auto"/>
            <w:vAlign w:val="center"/>
            <w:hideMark/>
          </w:tcPr>
          <w:p w14:paraId="2148DC7D"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dio611</w:t>
            </w:r>
          </w:p>
        </w:tc>
        <w:tc>
          <w:tcPr>
            <w:tcW w:w="1462" w:type="dxa"/>
            <w:tcBorders>
              <w:top w:val="nil"/>
              <w:left w:val="nil"/>
              <w:bottom w:val="single" w:sz="4" w:space="0" w:color="C0C0C0"/>
              <w:right w:val="single" w:sz="4" w:space="0" w:color="000080"/>
            </w:tcBorders>
            <w:shd w:val="clear" w:color="auto" w:fill="auto"/>
            <w:noWrap/>
            <w:vAlign w:val="center"/>
            <w:hideMark/>
          </w:tcPr>
          <w:p w14:paraId="033F60F6"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31775DAA"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 </w:t>
            </w:r>
          </w:p>
        </w:tc>
        <w:tc>
          <w:tcPr>
            <w:tcW w:w="1574" w:type="dxa"/>
            <w:tcBorders>
              <w:top w:val="nil"/>
              <w:left w:val="nil"/>
              <w:bottom w:val="single" w:sz="4" w:space="0" w:color="C0C0C0"/>
              <w:right w:val="single" w:sz="4" w:space="0" w:color="000000"/>
            </w:tcBorders>
            <w:shd w:val="clear" w:color="auto" w:fill="auto"/>
            <w:noWrap/>
            <w:vAlign w:val="center"/>
            <w:hideMark/>
          </w:tcPr>
          <w:p w14:paraId="4B510140"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42FC3A1B"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18C394FF" w14:textId="77777777" w:rsidR="00A920E6" w:rsidRPr="00A920E6" w:rsidRDefault="00A920E6" w:rsidP="00A920E6">
            <w:pPr>
              <w:rPr>
                <w:rFonts w:ascii="Arial" w:hAnsi="Arial" w:cs="Arial"/>
                <w:sz w:val="18"/>
                <w:szCs w:val="18"/>
              </w:rPr>
            </w:pPr>
            <w:r w:rsidRPr="00A920E6">
              <w:rPr>
                <w:rFonts w:ascii="Arial" w:hAnsi="Arial" w:cs="Arial"/>
                <w:sz w:val="18"/>
                <w:szCs w:val="18"/>
              </w:rPr>
              <w:t>31214</w:t>
            </w:r>
          </w:p>
        </w:tc>
        <w:tc>
          <w:tcPr>
            <w:tcW w:w="5157" w:type="dxa"/>
            <w:tcBorders>
              <w:top w:val="nil"/>
              <w:left w:val="nil"/>
              <w:bottom w:val="single" w:sz="4" w:space="0" w:color="C0C0C0"/>
              <w:right w:val="single" w:sz="4" w:space="0" w:color="000080"/>
            </w:tcBorders>
            <w:shd w:val="clear" w:color="auto" w:fill="auto"/>
            <w:vAlign w:val="center"/>
            <w:hideMark/>
          </w:tcPr>
          <w:p w14:paraId="2237BB87" w14:textId="77777777" w:rsidR="00A920E6" w:rsidRPr="00A920E6" w:rsidRDefault="00A920E6" w:rsidP="00A920E6">
            <w:pPr>
              <w:rPr>
                <w:rFonts w:ascii="Arial" w:hAnsi="Arial" w:cs="Arial"/>
                <w:sz w:val="18"/>
                <w:szCs w:val="18"/>
              </w:rPr>
            </w:pPr>
            <w:r w:rsidRPr="00A920E6">
              <w:rPr>
                <w:rFonts w:ascii="Arial" w:hAnsi="Arial" w:cs="Arial"/>
                <w:sz w:val="18"/>
                <w:szCs w:val="18"/>
              </w:rPr>
              <w:t>Otpremnine</w:t>
            </w:r>
          </w:p>
        </w:tc>
        <w:tc>
          <w:tcPr>
            <w:tcW w:w="2919" w:type="dxa"/>
            <w:tcBorders>
              <w:top w:val="nil"/>
              <w:left w:val="nil"/>
              <w:bottom w:val="single" w:sz="4" w:space="0" w:color="C0C0C0"/>
              <w:right w:val="single" w:sz="4" w:space="0" w:color="000080"/>
            </w:tcBorders>
            <w:shd w:val="clear" w:color="auto" w:fill="auto"/>
            <w:vAlign w:val="center"/>
            <w:hideMark/>
          </w:tcPr>
          <w:p w14:paraId="4F21E90F" w14:textId="77777777" w:rsidR="00A920E6" w:rsidRPr="00A920E6" w:rsidRDefault="00A920E6" w:rsidP="00A920E6">
            <w:pPr>
              <w:rPr>
                <w:rFonts w:ascii="Arial" w:hAnsi="Arial" w:cs="Arial"/>
                <w:b/>
                <w:bCs/>
                <w:sz w:val="18"/>
                <w:szCs w:val="18"/>
              </w:rPr>
            </w:pPr>
            <w:r w:rsidRPr="00A920E6">
              <w:rPr>
                <w:rFonts w:ascii="Arial" w:hAnsi="Arial" w:cs="Arial"/>
                <w:b/>
                <w:bCs/>
                <w:sz w:val="18"/>
                <w:szCs w:val="18"/>
              </w:rPr>
              <w:t>31214</w:t>
            </w:r>
          </w:p>
        </w:tc>
        <w:tc>
          <w:tcPr>
            <w:tcW w:w="1462" w:type="dxa"/>
            <w:tcBorders>
              <w:top w:val="nil"/>
              <w:left w:val="nil"/>
              <w:bottom w:val="single" w:sz="4" w:space="0" w:color="C0C0C0"/>
              <w:right w:val="single" w:sz="4" w:space="0" w:color="000080"/>
            </w:tcBorders>
            <w:shd w:val="clear" w:color="auto" w:fill="auto"/>
            <w:noWrap/>
            <w:vAlign w:val="center"/>
            <w:hideMark/>
          </w:tcPr>
          <w:p w14:paraId="62F6B512"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36.693,33</w:t>
            </w:r>
          </w:p>
        </w:tc>
        <w:tc>
          <w:tcPr>
            <w:tcW w:w="1462" w:type="dxa"/>
            <w:tcBorders>
              <w:top w:val="nil"/>
              <w:left w:val="nil"/>
              <w:bottom w:val="single" w:sz="4" w:space="0" w:color="C0C0C0"/>
              <w:right w:val="single" w:sz="4" w:space="0" w:color="000080"/>
            </w:tcBorders>
            <w:shd w:val="clear" w:color="auto" w:fill="auto"/>
            <w:noWrap/>
            <w:vAlign w:val="center"/>
            <w:hideMark/>
          </w:tcPr>
          <w:p w14:paraId="2D8D5E77"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74.867,12</w:t>
            </w:r>
          </w:p>
        </w:tc>
        <w:tc>
          <w:tcPr>
            <w:tcW w:w="1574" w:type="dxa"/>
            <w:tcBorders>
              <w:top w:val="nil"/>
              <w:left w:val="nil"/>
              <w:bottom w:val="single" w:sz="4" w:space="0" w:color="C0C0C0"/>
              <w:right w:val="single" w:sz="4" w:space="0" w:color="000000"/>
            </w:tcBorders>
            <w:shd w:val="clear" w:color="auto" w:fill="auto"/>
            <w:noWrap/>
            <w:vAlign w:val="center"/>
            <w:hideMark/>
          </w:tcPr>
          <w:p w14:paraId="236DB66D"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204,0</w:t>
            </w:r>
          </w:p>
        </w:tc>
      </w:tr>
      <w:tr w:rsidR="00A920E6" w:rsidRPr="00A920E6" w14:paraId="3A2DEDB8"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614DF4B9" w14:textId="77777777" w:rsidR="00A920E6" w:rsidRPr="00A920E6" w:rsidRDefault="00A920E6" w:rsidP="00A920E6">
            <w:pPr>
              <w:rPr>
                <w:rFonts w:ascii="Arial" w:hAnsi="Arial" w:cs="Arial"/>
                <w:sz w:val="18"/>
                <w:szCs w:val="18"/>
              </w:rPr>
            </w:pPr>
            <w:r w:rsidRPr="00A920E6">
              <w:rPr>
                <w:rFonts w:ascii="Arial" w:hAnsi="Arial" w:cs="Arial"/>
                <w:sz w:val="18"/>
                <w:szCs w:val="18"/>
              </w:rPr>
              <w:t>31215</w:t>
            </w:r>
          </w:p>
        </w:tc>
        <w:tc>
          <w:tcPr>
            <w:tcW w:w="5157" w:type="dxa"/>
            <w:tcBorders>
              <w:top w:val="nil"/>
              <w:left w:val="nil"/>
              <w:bottom w:val="single" w:sz="4" w:space="0" w:color="C0C0C0"/>
              <w:right w:val="single" w:sz="4" w:space="0" w:color="000080"/>
            </w:tcBorders>
            <w:shd w:val="clear" w:color="auto" w:fill="auto"/>
            <w:vAlign w:val="center"/>
            <w:hideMark/>
          </w:tcPr>
          <w:p w14:paraId="06B25206" w14:textId="77777777" w:rsidR="00A920E6" w:rsidRPr="00A920E6" w:rsidRDefault="00A920E6" w:rsidP="00A920E6">
            <w:pPr>
              <w:rPr>
                <w:rFonts w:ascii="Arial" w:hAnsi="Arial" w:cs="Arial"/>
                <w:sz w:val="18"/>
                <w:szCs w:val="18"/>
              </w:rPr>
            </w:pPr>
            <w:r w:rsidRPr="00A920E6">
              <w:rPr>
                <w:rFonts w:ascii="Arial" w:hAnsi="Arial" w:cs="Arial"/>
                <w:sz w:val="18"/>
                <w:szCs w:val="18"/>
              </w:rPr>
              <w:t>Naknade za bolest, invalidnost i smrtni slučaj</w:t>
            </w:r>
          </w:p>
        </w:tc>
        <w:tc>
          <w:tcPr>
            <w:tcW w:w="2919" w:type="dxa"/>
            <w:tcBorders>
              <w:top w:val="nil"/>
              <w:left w:val="nil"/>
              <w:bottom w:val="single" w:sz="4" w:space="0" w:color="C0C0C0"/>
              <w:right w:val="single" w:sz="4" w:space="0" w:color="000080"/>
            </w:tcBorders>
            <w:shd w:val="clear" w:color="auto" w:fill="auto"/>
            <w:vAlign w:val="center"/>
            <w:hideMark/>
          </w:tcPr>
          <w:p w14:paraId="02016A7A" w14:textId="77777777" w:rsidR="00A920E6" w:rsidRPr="00A920E6" w:rsidRDefault="00A920E6" w:rsidP="00A920E6">
            <w:pPr>
              <w:rPr>
                <w:rFonts w:ascii="Arial" w:hAnsi="Arial" w:cs="Arial"/>
                <w:b/>
                <w:bCs/>
                <w:sz w:val="18"/>
                <w:szCs w:val="18"/>
              </w:rPr>
            </w:pPr>
            <w:r w:rsidRPr="00A920E6">
              <w:rPr>
                <w:rFonts w:ascii="Arial" w:hAnsi="Arial" w:cs="Arial"/>
                <w:b/>
                <w:bCs/>
                <w:sz w:val="18"/>
                <w:szCs w:val="18"/>
              </w:rPr>
              <w:t>31215</w:t>
            </w:r>
          </w:p>
        </w:tc>
        <w:tc>
          <w:tcPr>
            <w:tcW w:w="1462" w:type="dxa"/>
            <w:tcBorders>
              <w:top w:val="nil"/>
              <w:left w:val="nil"/>
              <w:bottom w:val="single" w:sz="4" w:space="0" w:color="C0C0C0"/>
              <w:right w:val="single" w:sz="4" w:space="0" w:color="000080"/>
            </w:tcBorders>
            <w:shd w:val="clear" w:color="auto" w:fill="auto"/>
            <w:noWrap/>
            <w:vAlign w:val="center"/>
            <w:hideMark/>
          </w:tcPr>
          <w:p w14:paraId="0B5E89F0"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32.711,81</w:t>
            </w:r>
          </w:p>
        </w:tc>
        <w:tc>
          <w:tcPr>
            <w:tcW w:w="1462" w:type="dxa"/>
            <w:tcBorders>
              <w:top w:val="nil"/>
              <w:left w:val="nil"/>
              <w:bottom w:val="single" w:sz="4" w:space="0" w:color="C0C0C0"/>
              <w:right w:val="single" w:sz="4" w:space="0" w:color="000080"/>
            </w:tcBorders>
            <w:shd w:val="clear" w:color="auto" w:fill="auto"/>
            <w:noWrap/>
            <w:vAlign w:val="center"/>
            <w:hideMark/>
          </w:tcPr>
          <w:p w14:paraId="44DE77D5"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27.369,28</w:t>
            </w:r>
          </w:p>
        </w:tc>
        <w:tc>
          <w:tcPr>
            <w:tcW w:w="1574" w:type="dxa"/>
            <w:tcBorders>
              <w:top w:val="nil"/>
              <w:left w:val="nil"/>
              <w:bottom w:val="single" w:sz="4" w:space="0" w:color="C0C0C0"/>
              <w:right w:val="single" w:sz="4" w:space="0" w:color="000000"/>
            </w:tcBorders>
            <w:shd w:val="clear" w:color="auto" w:fill="auto"/>
            <w:noWrap/>
            <w:vAlign w:val="center"/>
            <w:hideMark/>
          </w:tcPr>
          <w:p w14:paraId="25A80754"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83,7</w:t>
            </w:r>
          </w:p>
        </w:tc>
      </w:tr>
      <w:tr w:rsidR="00A920E6" w:rsidRPr="00A920E6" w14:paraId="21E85AC2"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0F057B45" w14:textId="77777777" w:rsidR="00A920E6" w:rsidRPr="00A920E6" w:rsidRDefault="00A920E6" w:rsidP="00A920E6">
            <w:pPr>
              <w:rPr>
                <w:rFonts w:ascii="Arial" w:hAnsi="Arial" w:cs="Arial"/>
                <w:sz w:val="18"/>
                <w:szCs w:val="18"/>
              </w:rPr>
            </w:pPr>
            <w:r w:rsidRPr="00A920E6">
              <w:rPr>
                <w:rFonts w:ascii="Arial" w:hAnsi="Arial" w:cs="Arial"/>
                <w:sz w:val="18"/>
                <w:szCs w:val="18"/>
              </w:rPr>
              <w:t>32121</w:t>
            </w:r>
          </w:p>
        </w:tc>
        <w:tc>
          <w:tcPr>
            <w:tcW w:w="5157" w:type="dxa"/>
            <w:tcBorders>
              <w:top w:val="nil"/>
              <w:left w:val="nil"/>
              <w:bottom w:val="single" w:sz="4" w:space="0" w:color="C0C0C0"/>
              <w:right w:val="single" w:sz="4" w:space="0" w:color="000080"/>
            </w:tcBorders>
            <w:shd w:val="clear" w:color="auto" w:fill="auto"/>
            <w:vAlign w:val="center"/>
            <w:hideMark/>
          </w:tcPr>
          <w:p w14:paraId="6056CE39" w14:textId="77777777" w:rsidR="00A920E6" w:rsidRPr="00A920E6" w:rsidRDefault="00A920E6" w:rsidP="00A920E6">
            <w:pPr>
              <w:rPr>
                <w:rFonts w:ascii="Arial" w:hAnsi="Arial" w:cs="Arial"/>
                <w:sz w:val="18"/>
                <w:szCs w:val="18"/>
              </w:rPr>
            </w:pPr>
            <w:r w:rsidRPr="00A920E6">
              <w:rPr>
                <w:rFonts w:ascii="Arial" w:hAnsi="Arial" w:cs="Arial"/>
                <w:sz w:val="18"/>
                <w:szCs w:val="18"/>
              </w:rPr>
              <w:t>Naknade za prijevoz na posao i s posla</w:t>
            </w:r>
          </w:p>
        </w:tc>
        <w:tc>
          <w:tcPr>
            <w:tcW w:w="2919" w:type="dxa"/>
            <w:tcBorders>
              <w:top w:val="nil"/>
              <w:left w:val="nil"/>
              <w:bottom w:val="single" w:sz="4" w:space="0" w:color="C0C0C0"/>
              <w:right w:val="single" w:sz="4" w:space="0" w:color="000080"/>
            </w:tcBorders>
            <w:shd w:val="clear" w:color="auto" w:fill="auto"/>
            <w:vAlign w:val="center"/>
            <w:hideMark/>
          </w:tcPr>
          <w:p w14:paraId="7D323778" w14:textId="77777777" w:rsidR="00A920E6" w:rsidRPr="00A920E6" w:rsidRDefault="00A920E6" w:rsidP="00A920E6">
            <w:pPr>
              <w:rPr>
                <w:rFonts w:ascii="Arial" w:hAnsi="Arial" w:cs="Arial"/>
                <w:b/>
                <w:bCs/>
                <w:sz w:val="18"/>
                <w:szCs w:val="18"/>
              </w:rPr>
            </w:pPr>
            <w:r w:rsidRPr="00A920E6">
              <w:rPr>
                <w:rFonts w:ascii="Arial" w:hAnsi="Arial" w:cs="Arial"/>
                <w:b/>
                <w:bCs/>
                <w:sz w:val="18"/>
                <w:szCs w:val="18"/>
              </w:rPr>
              <w:t>32121</w:t>
            </w:r>
          </w:p>
        </w:tc>
        <w:tc>
          <w:tcPr>
            <w:tcW w:w="1462" w:type="dxa"/>
            <w:tcBorders>
              <w:top w:val="nil"/>
              <w:left w:val="nil"/>
              <w:bottom w:val="single" w:sz="4" w:space="0" w:color="C0C0C0"/>
              <w:right w:val="single" w:sz="4" w:space="0" w:color="000080"/>
            </w:tcBorders>
            <w:shd w:val="clear" w:color="auto" w:fill="auto"/>
            <w:noWrap/>
            <w:vAlign w:val="center"/>
            <w:hideMark/>
          </w:tcPr>
          <w:p w14:paraId="0A8703D6"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481.983,43</w:t>
            </w:r>
          </w:p>
        </w:tc>
        <w:tc>
          <w:tcPr>
            <w:tcW w:w="1462" w:type="dxa"/>
            <w:tcBorders>
              <w:top w:val="nil"/>
              <w:left w:val="nil"/>
              <w:bottom w:val="single" w:sz="4" w:space="0" w:color="C0C0C0"/>
              <w:right w:val="single" w:sz="4" w:space="0" w:color="000080"/>
            </w:tcBorders>
            <w:shd w:val="clear" w:color="auto" w:fill="auto"/>
            <w:noWrap/>
            <w:vAlign w:val="center"/>
            <w:hideMark/>
          </w:tcPr>
          <w:p w14:paraId="78AAEB5A"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491.572,82</w:t>
            </w:r>
          </w:p>
        </w:tc>
        <w:tc>
          <w:tcPr>
            <w:tcW w:w="1574" w:type="dxa"/>
            <w:tcBorders>
              <w:top w:val="nil"/>
              <w:left w:val="nil"/>
              <w:bottom w:val="single" w:sz="4" w:space="0" w:color="C0C0C0"/>
              <w:right w:val="single" w:sz="4" w:space="0" w:color="000000"/>
            </w:tcBorders>
            <w:shd w:val="clear" w:color="auto" w:fill="auto"/>
            <w:noWrap/>
            <w:vAlign w:val="center"/>
            <w:hideMark/>
          </w:tcPr>
          <w:p w14:paraId="5013C7E4"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102,0</w:t>
            </w:r>
          </w:p>
        </w:tc>
      </w:tr>
      <w:tr w:rsidR="00A920E6" w:rsidRPr="00A920E6" w14:paraId="0965DC6E"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69EE91A7"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32351</w:t>
            </w:r>
          </w:p>
        </w:tc>
        <w:tc>
          <w:tcPr>
            <w:tcW w:w="5157" w:type="dxa"/>
            <w:tcBorders>
              <w:top w:val="nil"/>
              <w:left w:val="nil"/>
              <w:bottom w:val="single" w:sz="4" w:space="0" w:color="C0C0C0"/>
              <w:right w:val="single" w:sz="4" w:space="0" w:color="000080"/>
            </w:tcBorders>
            <w:shd w:val="clear" w:color="auto" w:fill="auto"/>
            <w:vAlign w:val="center"/>
            <w:hideMark/>
          </w:tcPr>
          <w:p w14:paraId="005690F5"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Zakupnine za zemljišta</w:t>
            </w:r>
          </w:p>
        </w:tc>
        <w:tc>
          <w:tcPr>
            <w:tcW w:w="2919" w:type="dxa"/>
            <w:tcBorders>
              <w:top w:val="nil"/>
              <w:left w:val="nil"/>
              <w:bottom w:val="single" w:sz="4" w:space="0" w:color="C0C0C0"/>
              <w:right w:val="single" w:sz="4" w:space="0" w:color="000080"/>
            </w:tcBorders>
            <w:shd w:val="clear" w:color="auto" w:fill="auto"/>
            <w:vAlign w:val="center"/>
            <w:hideMark/>
          </w:tcPr>
          <w:p w14:paraId="1403BFF4"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32351</w:t>
            </w:r>
          </w:p>
        </w:tc>
        <w:tc>
          <w:tcPr>
            <w:tcW w:w="1462" w:type="dxa"/>
            <w:tcBorders>
              <w:top w:val="nil"/>
              <w:left w:val="nil"/>
              <w:bottom w:val="single" w:sz="4" w:space="0" w:color="C0C0C0"/>
              <w:right w:val="single" w:sz="4" w:space="0" w:color="000080"/>
            </w:tcBorders>
            <w:shd w:val="clear" w:color="auto" w:fill="auto"/>
            <w:noWrap/>
            <w:vAlign w:val="center"/>
            <w:hideMark/>
          </w:tcPr>
          <w:p w14:paraId="6EE7A8EA"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8.181,68</w:t>
            </w:r>
          </w:p>
        </w:tc>
        <w:tc>
          <w:tcPr>
            <w:tcW w:w="1462" w:type="dxa"/>
            <w:tcBorders>
              <w:top w:val="nil"/>
              <w:left w:val="nil"/>
              <w:bottom w:val="single" w:sz="4" w:space="0" w:color="C0C0C0"/>
              <w:right w:val="single" w:sz="4" w:space="0" w:color="000080"/>
            </w:tcBorders>
            <w:shd w:val="clear" w:color="auto" w:fill="auto"/>
            <w:noWrap/>
            <w:vAlign w:val="center"/>
            <w:hideMark/>
          </w:tcPr>
          <w:p w14:paraId="484806D5"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12.600,00</w:t>
            </w:r>
          </w:p>
        </w:tc>
        <w:tc>
          <w:tcPr>
            <w:tcW w:w="1574" w:type="dxa"/>
            <w:tcBorders>
              <w:top w:val="nil"/>
              <w:left w:val="nil"/>
              <w:bottom w:val="single" w:sz="4" w:space="0" w:color="C0C0C0"/>
              <w:right w:val="single" w:sz="4" w:space="0" w:color="000000"/>
            </w:tcBorders>
            <w:shd w:val="clear" w:color="auto" w:fill="auto"/>
            <w:noWrap/>
            <w:vAlign w:val="center"/>
            <w:hideMark/>
          </w:tcPr>
          <w:p w14:paraId="0E3B061A"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154,0</w:t>
            </w:r>
          </w:p>
        </w:tc>
      </w:tr>
      <w:tr w:rsidR="00A920E6" w:rsidRPr="00A920E6" w14:paraId="585478F7"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23C6184B"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32361</w:t>
            </w:r>
          </w:p>
        </w:tc>
        <w:tc>
          <w:tcPr>
            <w:tcW w:w="5157" w:type="dxa"/>
            <w:tcBorders>
              <w:top w:val="nil"/>
              <w:left w:val="nil"/>
              <w:bottom w:val="single" w:sz="4" w:space="0" w:color="C0C0C0"/>
              <w:right w:val="single" w:sz="4" w:space="0" w:color="000080"/>
            </w:tcBorders>
            <w:shd w:val="clear" w:color="auto" w:fill="auto"/>
            <w:vAlign w:val="center"/>
            <w:hideMark/>
          </w:tcPr>
          <w:p w14:paraId="019EAECC"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Obvezni i preventivni zdravstveni pregledi zaposlenika</w:t>
            </w:r>
          </w:p>
        </w:tc>
        <w:tc>
          <w:tcPr>
            <w:tcW w:w="2919" w:type="dxa"/>
            <w:tcBorders>
              <w:top w:val="nil"/>
              <w:left w:val="nil"/>
              <w:bottom w:val="single" w:sz="4" w:space="0" w:color="C0C0C0"/>
              <w:right w:val="single" w:sz="4" w:space="0" w:color="000080"/>
            </w:tcBorders>
            <w:shd w:val="clear" w:color="auto" w:fill="auto"/>
            <w:vAlign w:val="center"/>
            <w:hideMark/>
          </w:tcPr>
          <w:p w14:paraId="3FA46867"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32361</w:t>
            </w:r>
          </w:p>
        </w:tc>
        <w:tc>
          <w:tcPr>
            <w:tcW w:w="1462" w:type="dxa"/>
            <w:tcBorders>
              <w:top w:val="nil"/>
              <w:left w:val="nil"/>
              <w:bottom w:val="single" w:sz="4" w:space="0" w:color="C0C0C0"/>
              <w:right w:val="single" w:sz="4" w:space="0" w:color="000080"/>
            </w:tcBorders>
            <w:shd w:val="clear" w:color="auto" w:fill="auto"/>
            <w:noWrap/>
            <w:vAlign w:val="center"/>
            <w:hideMark/>
          </w:tcPr>
          <w:p w14:paraId="21461C46"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28.702,40</w:t>
            </w:r>
          </w:p>
        </w:tc>
        <w:tc>
          <w:tcPr>
            <w:tcW w:w="1462" w:type="dxa"/>
            <w:tcBorders>
              <w:top w:val="nil"/>
              <w:left w:val="nil"/>
              <w:bottom w:val="single" w:sz="4" w:space="0" w:color="C0C0C0"/>
              <w:right w:val="single" w:sz="4" w:space="0" w:color="000080"/>
            </w:tcBorders>
            <w:shd w:val="clear" w:color="auto" w:fill="auto"/>
            <w:noWrap/>
            <w:vAlign w:val="center"/>
            <w:hideMark/>
          </w:tcPr>
          <w:p w14:paraId="19B77B1B"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33.626,95</w:t>
            </w:r>
          </w:p>
        </w:tc>
        <w:tc>
          <w:tcPr>
            <w:tcW w:w="1574" w:type="dxa"/>
            <w:tcBorders>
              <w:top w:val="nil"/>
              <w:left w:val="nil"/>
              <w:bottom w:val="single" w:sz="4" w:space="0" w:color="C0C0C0"/>
              <w:right w:val="single" w:sz="4" w:space="0" w:color="000000"/>
            </w:tcBorders>
            <w:shd w:val="clear" w:color="auto" w:fill="auto"/>
            <w:noWrap/>
            <w:vAlign w:val="center"/>
            <w:hideMark/>
          </w:tcPr>
          <w:p w14:paraId="2EFA6DD6"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117,2</w:t>
            </w:r>
          </w:p>
        </w:tc>
      </w:tr>
      <w:tr w:rsidR="00A920E6" w:rsidRPr="00A920E6" w14:paraId="62CB558C"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3BB18DD9"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32371</w:t>
            </w:r>
          </w:p>
        </w:tc>
        <w:tc>
          <w:tcPr>
            <w:tcW w:w="5157" w:type="dxa"/>
            <w:tcBorders>
              <w:top w:val="nil"/>
              <w:left w:val="nil"/>
              <w:bottom w:val="single" w:sz="4" w:space="0" w:color="C0C0C0"/>
              <w:right w:val="single" w:sz="4" w:space="0" w:color="000080"/>
            </w:tcBorders>
            <w:shd w:val="clear" w:color="auto" w:fill="auto"/>
            <w:vAlign w:val="center"/>
            <w:hideMark/>
          </w:tcPr>
          <w:p w14:paraId="259B89D0"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Autorski honorari</w:t>
            </w:r>
          </w:p>
        </w:tc>
        <w:tc>
          <w:tcPr>
            <w:tcW w:w="2919" w:type="dxa"/>
            <w:tcBorders>
              <w:top w:val="nil"/>
              <w:left w:val="nil"/>
              <w:bottom w:val="single" w:sz="4" w:space="0" w:color="C0C0C0"/>
              <w:right w:val="single" w:sz="4" w:space="0" w:color="000080"/>
            </w:tcBorders>
            <w:shd w:val="clear" w:color="auto" w:fill="auto"/>
            <w:vAlign w:val="center"/>
            <w:hideMark/>
          </w:tcPr>
          <w:p w14:paraId="5B02AB15"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32371</w:t>
            </w:r>
          </w:p>
        </w:tc>
        <w:tc>
          <w:tcPr>
            <w:tcW w:w="1462" w:type="dxa"/>
            <w:tcBorders>
              <w:top w:val="nil"/>
              <w:left w:val="nil"/>
              <w:bottom w:val="single" w:sz="4" w:space="0" w:color="C0C0C0"/>
              <w:right w:val="single" w:sz="4" w:space="0" w:color="000080"/>
            </w:tcBorders>
            <w:shd w:val="clear" w:color="auto" w:fill="auto"/>
            <w:noWrap/>
            <w:vAlign w:val="center"/>
            <w:hideMark/>
          </w:tcPr>
          <w:p w14:paraId="106A1927"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51539C72"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6.032,67</w:t>
            </w:r>
          </w:p>
        </w:tc>
        <w:tc>
          <w:tcPr>
            <w:tcW w:w="1574" w:type="dxa"/>
            <w:tcBorders>
              <w:top w:val="nil"/>
              <w:left w:val="nil"/>
              <w:bottom w:val="single" w:sz="4" w:space="0" w:color="C0C0C0"/>
              <w:right w:val="single" w:sz="4" w:space="0" w:color="000000"/>
            </w:tcBorders>
            <w:shd w:val="clear" w:color="auto" w:fill="auto"/>
            <w:noWrap/>
            <w:vAlign w:val="center"/>
            <w:hideMark/>
          </w:tcPr>
          <w:p w14:paraId="0FA5B2DC"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w:t>
            </w:r>
          </w:p>
        </w:tc>
      </w:tr>
      <w:tr w:rsidR="00A920E6" w:rsidRPr="00A920E6" w14:paraId="5318029E"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2D9DBB78"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32372</w:t>
            </w:r>
          </w:p>
        </w:tc>
        <w:tc>
          <w:tcPr>
            <w:tcW w:w="5157" w:type="dxa"/>
            <w:tcBorders>
              <w:top w:val="nil"/>
              <w:left w:val="nil"/>
              <w:bottom w:val="single" w:sz="4" w:space="0" w:color="C0C0C0"/>
              <w:right w:val="single" w:sz="4" w:space="0" w:color="000080"/>
            </w:tcBorders>
            <w:shd w:val="clear" w:color="auto" w:fill="auto"/>
            <w:vAlign w:val="center"/>
            <w:hideMark/>
          </w:tcPr>
          <w:p w14:paraId="172DBBBE"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Ugovori o djelu</w:t>
            </w:r>
          </w:p>
        </w:tc>
        <w:tc>
          <w:tcPr>
            <w:tcW w:w="2919" w:type="dxa"/>
            <w:tcBorders>
              <w:top w:val="nil"/>
              <w:left w:val="nil"/>
              <w:bottom w:val="single" w:sz="4" w:space="0" w:color="C0C0C0"/>
              <w:right w:val="single" w:sz="4" w:space="0" w:color="000080"/>
            </w:tcBorders>
            <w:shd w:val="clear" w:color="auto" w:fill="auto"/>
            <w:vAlign w:val="center"/>
            <w:hideMark/>
          </w:tcPr>
          <w:p w14:paraId="508836FF"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32372</w:t>
            </w:r>
          </w:p>
        </w:tc>
        <w:tc>
          <w:tcPr>
            <w:tcW w:w="1462" w:type="dxa"/>
            <w:tcBorders>
              <w:top w:val="nil"/>
              <w:left w:val="nil"/>
              <w:bottom w:val="single" w:sz="4" w:space="0" w:color="C0C0C0"/>
              <w:right w:val="single" w:sz="4" w:space="0" w:color="000080"/>
            </w:tcBorders>
            <w:shd w:val="clear" w:color="auto" w:fill="auto"/>
            <w:noWrap/>
            <w:vAlign w:val="center"/>
            <w:hideMark/>
          </w:tcPr>
          <w:p w14:paraId="14B2BFB6"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80.636,15</w:t>
            </w:r>
          </w:p>
        </w:tc>
        <w:tc>
          <w:tcPr>
            <w:tcW w:w="1462" w:type="dxa"/>
            <w:tcBorders>
              <w:top w:val="nil"/>
              <w:left w:val="nil"/>
              <w:bottom w:val="single" w:sz="4" w:space="0" w:color="C0C0C0"/>
              <w:right w:val="single" w:sz="4" w:space="0" w:color="000080"/>
            </w:tcBorders>
            <w:shd w:val="clear" w:color="auto" w:fill="auto"/>
            <w:noWrap/>
            <w:vAlign w:val="center"/>
            <w:hideMark/>
          </w:tcPr>
          <w:p w14:paraId="28717240"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69.296,29</w:t>
            </w:r>
          </w:p>
        </w:tc>
        <w:tc>
          <w:tcPr>
            <w:tcW w:w="1574" w:type="dxa"/>
            <w:tcBorders>
              <w:top w:val="nil"/>
              <w:left w:val="nil"/>
              <w:bottom w:val="single" w:sz="4" w:space="0" w:color="C0C0C0"/>
              <w:right w:val="single" w:sz="4" w:space="0" w:color="000000"/>
            </w:tcBorders>
            <w:shd w:val="clear" w:color="auto" w:fill="auto"/>
            <w:noWrap/>
            <w:vAlign w:val="center"/>
            <w:hideMark/>
          </w:tcPr>
          <w:p w14:paraId="2338BF84"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85,9</w:t>
            </w:r>
          </w:p>
        </w:tc>
      </w:tr>
      <w:tr w:rsidR="00A920E6" w:rsidRPr="00A920E6" w14:paraId="7C1CA049"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5B29552B" w14:textId="77777777" w:rsidR="00A920E6" w:rsidRPr="00A920E6" w:rsidRDefault="00A920E6" w:rsidP="00A920E6">
            <w:pPr>
              <w:rPr>
                <w:rFonts w:ascii="Arial" w:hAnsi="Arial" w:cs="Arial"/>
                <w:sz w:val="18"/>
                <w:szCs w:val="18"/>
              </w:rPr>
            </w:pPr>
            <w:r w:rsidRPr="00A920E6">
              <w:rPr>
                <w:rFonts w:ascii="Arial" w:hAnsi="Arial" w:cs="Arial"/>
                <w:sz w:val="18"/>
                <w:szCs w:val="18"/>
              </w:rPr>
              <w:t>32377</w:t>
            </w:r>
          </w:p>
        </w:tc>
        <w:tc>
          <w:tcPr>
            <w:tcW w:w="5157" w:type="dxa"/>
            <w:tcBorders>
              <w:top w:val="nil"/>
              <w:left w:val="nil"/>
              <w:bottom w:val="single" w:sz="4" w:space="0" w:color="C0C0C0"/>
              <w:right w:val="single" w:sz="4" w:space="0" w:color="000080"/>
            </w:tcBorders>
            <w:shd w:val="clear" w:color="auto" w:fill="auto"/>
            <w:vAlign w:val="center"/>
            <w:hideMark/>
          </w:tcPr>
          <w:p w14:paraId="5BB5306E" w14:textId="77777777" w:rsidR="00A920E6" w:rsidRPr="00A920E6" w:rsidRDefault="00A920E6" w:rsidP="00A920E6">
            <w:pPr>
              <w:rPr>
                <w:rFonts w:ascii="Arial" w:hAnsi="Arial" w:cs="Arial"/>
                <w:sz w:val="18"/>
                <w:szCs w:val="18"/>
              </w:rPr>
            </w:pPr>
            <w:r w:rsidRPr="00A920E6">
              <w:rPr>
                <w:rFonts w:ascii="Arial" w:hAnsi="Arial" w:cs="Arial"/>
                <w:sz w:val="18"/>
                <w:szCs w:val="18"/>
              </w:rPr>
              <w:t>Usluge agencija, studentskog servisa (prijepisi, prijevodi i drugo)</w:t>
            </w:r>
          </w:p>
        </w:tc>
        <w:tc>
          <w:tcPr>
            <w:tcW w:w="2919" w:type="dxa"/>
            <w:tcBorders>
              <w:top w:val="nil"/>
              <w:left w:val="nil"/>
              <w:bottom w:val="single" w:sz="4" w:space="0" w:color="C0C0C0"/>
              <w:right w:val="single" w:sz="4" w:space="0" w:color="000080"/>
            </w:tcBorders>
            <w:shd w:val="clear" w:color="auto" w:fill="auto"/>
            <w:vAlign w:val="center"/>
            <w:hideMark/>
          </w:tcPr>
          <w:p w14:paraId="510FD5AF" w14:textId="77777777" w:rsidR="00A920E6" w:rsidRPr="00A920E6" w:rsidRDefault="00A920E6" w:rsidP="00A920E6">
            <w:pPr>
              <w:rPr>
                <w:rFonts w:ascii="Arial" w:hAnsi="Arial" w:cs="Arial"/>
                <w:b/>
                <w:bCs/>
                <w:sz w:val="18"/>
                <w:szCs w:val="18"/>
              </w:rPr>
            </w:pPr>
            <w:r w:rsidRPr="00A920E6">
              <w:rPr>
                <w:rFonts w:ascii="Arial" w:hAnsi="Arial" w:cs="Arial"/>
                <w:b/>
                <w:bCs/>
                <w:sz w:val="18"/>
                <w:szCs w:val="18"/>
              </w:rPr>
              <w:t>32377</w:t>
            </w:r>
          </w:p>
        </w:tc>
        <w:tc>
          <w:tcPr>
            <w:tcW w:w="1462" w:type="dxa"/>
            <w:tcBorders>
              <w:top w:val="nil"/>
              <w:left w:val="nil"/>
              <w:bottom w:val="single" w:sz="4" w:space="0" w:color="C0C0C0"/>
              <w:right w:val="single" w:sz="4" w:space="0" w:color="000080"/>
            </w:tcBorders>
            <w:shd w:val="clear" w:color="auto" w:fill="auto"/>
            <w:noWrap/>
            <w:vAlign w:val="center"/>
            <w:hideMark/>
          </w:tcPr>
          <w:p w14:paraId="67857FBA"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38.645,99</w:t>
            </w:r>
          </w:p>
        </w:tc>
        <w:tc>
          <w:tcPr>
            <w:tcW w:w="1462" w:type="dxa"/>
            <w:tcBorders>
              <w:top w:val="nil"/>
              <w:left w:val="nil"/>
              <w:bottom w:val="single" w:sz="4" w:space="0" w:color="C0C0C0"/>
              <w:right w:val="single" w:sz="4" w:space="0" w:color="000080"/>
            </w:tcBorders>
            <w:shd w:val="clear" w:color="auto" w:fill="auto"/>
            <w:noWrap/>
            <w:vAlign w:val="center"/>
            <w:hideMark/>
          </w:tcPr>
          <w:p w14:paraId="0781E4A8"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38.946,53</w:t>
            </w:r>
          </w:p>
        </w:tc>
        <w:tc>
          <w:tcPr>
            <w:tcW w:w="1574" w:type="dxa"/>
            <w:tcBorders>
              <w:top w:val="nil"/>
              <w:left w:val="nil"/>
              <w:bottom w:val="single" w:sz="4" w:space="0" w:color="C0C0C0"/>
              <w:right w:val="single" w:sz="4" w:space="0" w:color="000000"/>
            </w:tcBorders>
            <w:shd w:val="clear" w:color="auto" w:fill="auto"/>
            <w:noWrap/>
            <w:vAlign w:val="center"/>
            <w:hideMark/>
          </w:tcPr>
          <w:p w14:paraId="1D2DAB98"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100,8</w:t>
            </w:r>
          </w:p>
        </w:tc>
      </w:tr>
      <w:tr w:rsidR="00A920E6" w:rsidRPr="00A920E6" w14:paraId="507939BC"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5F6B64CE" w14:textId="77777777" w:rsidR="00A920E6" w:rsidRPr="00A920E6" w:rsidRDefault="00A920E6" w:rsidP="00A920E6">
            <w:pPr>
              <w:rPr>
                <w:rFonts w:ascii="Arial" w:hAnsi="Arial" w:cs="Arial"/>
                <w:sz w:val="18"/>
                <w:szCs w:val="18"/>
              </w:rPr>
            </w:pPr>
            <w:r w:rsidRPr="00A920E6">
              <w:rPr>
                <w:rFonts w:ascii="Arial" w:hAnsi="Arial" w:cs="Arial"/>
                <w:sz w:val="18"/>
                <w:szCs w:val="18"/>
              </w:rPr>
              <w:t>32923</w:t>
            </w:r>
          </w:p>
        </w:tc>
        <w:tc>
          <w:tcPr>
            <w:tcW w:w="5157" w:type="dxa"/>
            <w:tcBorders>
              <w:top w:val="nil"/>
              <w:left w:val="nil"/>
              <w:bottom w:val="single" w:sz="4" w:space="0" w:color="C0C0C0"/>
              <w:right w:val="single" w:sz="4" w:space="0" w:color="000080"/>
            </w:tcBorders>
            <w:shd w:val="clear" w:color="auto" w:fill="auto"/>
            <w:vAlign w:val="center"/>
            <w:hideMark/>
          </w:tcPr>
          <w:p w14:paraId="36071B70" w14:textId="77777777" w:rsidR="00A920E6" w:rsidRPr="00A920E6" w:rsidRDefault="00A920E6" w:rsidP="00A920E6">
            <w:pPr>
              <w:rPr>
                <w:rFonts w:ascii="Arial" w:hAnsi="Arial" w:cs="Arial"/>
                <w:sz w:val="18"/>
                <w:szCs w:val="18"/>
              </w:rPr>
            </w:pPr>
            <w:r w:rsidRPr="00A920E6">
              <w:rPr>
                <w:rFonts w:ascii="Arial" w:hAnsi="Arial" w:cs="Arial"/>
                <w:sz w:val="18"/>
                <w:szCs w:val="18"/>
              </w:rPr>
              <w:t>Premije osiguranja zaposlenih</w:t>
            </w:r>
          </w:p>
        </w:tc>
        <w:tc>
          <w:tcPr>
            <w:tcW w:w="2919" w:type="dxa"/>
            <w:tcBorders>
              <w:top w:val="nil"/>
              <w:left w:val="nil"/>
              <w:bottom w:val="single" w:sz="4" w:space="0" w:color="C0C0C0"/>
              <w:right w:val="single" w:sz="4" w:space="0" w:color="000080"/>
            </w:tcBorders>
            <w:shd w:val="clear" w:color="auto" w:fill="auto"/>
            <w:vAlign w:val="center"/>
            <w:hideMark/>
          </w:tcPr>
          <w:p w14:paraId="49B4610B" w14:textId="77777777" w:rsidR="00A920E6" w:rsidRPr="00A920E6" w:rsidRDefault="00A920E6" w:rsidP="00A920E6">
            <w:pPr>
              <w:rPr>
                <w:rFonts w:ascii="Arial" w:hAnsi="Arial" w:cs="Arial"/>
                <w:b/>
                <w:bCs/>
                <w:sz w:val="18"/>
                <w:szCs w:val="18"/>
              </w:rPr>
            </w:pPr>
            <w:r w:rsidRPr="00A920E6">
              <w:rPr>
                <w:rFonts w:ascii="Arial" w:hAnsi="Arial" w:cs="Arial"/>
                <w:b/>
                <w:bCs/>
                <w:sz w:val="18"/>
                <w:szCs w:val="18"/>
              </w:rPr>
              <w:t>32923</w:t>
            </w:r>
          </w:p>
        </w:tc>
        <w:tc>
          <w:tcPr>
            <w:tcW w:w="1462" w:type="dxa"/>
            <w:tcBorders>
              <w:top w:val="nil"/>
              <w:left w:val="nil"/>
              <w:bottom w:val="single" w:sz="4" w:space="0" w:color="C0C0C0"/>
              <w:right w:val="single" w:sz="4" w:space="0" w:color="000080"/>
            </w:tcBorders>
            <w:shd w:val="clear" w:color="auto" w:fill="auto"/>
            <w:noWrap/>
            <w:vAlign w:val="center"/>
            <w:hideMark/>
          </w:tcPr>
          <w:p w14:paraId="27FBB62B"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4.717,62</w:t>
            </w:r>
          </w:p>
        </w:tc>
        <w:tc>
          <w:tcPr>
            <w:tcW w:w="1462" w:type="dxa"/>
            <w:tcBorders>
              <w:top w:val="nil"/>
              <w:left w:val="nil"/>
              <w:bottom w:val="single" w:sz="4" w:space="0" w:color="C0C0C0"/>
              <w:right w:val="single" w:sz="4" w:space="0" w:color="000080"/>
            </w:tcBorders>
            <w:shd w:val="clear" w:color="auto" w:fill="auto"/>
            <w:noWrap/>
            <w:vAlign w:val="center"/>
            <w:hideMark/>
          </w:tcPr>
          <w:p w14:paraId="7E885AEC"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5.476,39</w:t>
            </w:r>
          </w:p>
        </w:tc>
        <w:tc>
          <w:tcPr>
            <w:tcW w:w="1574" w:type="dxa"/>
            <w:tcBorders>
              <w:top w:val="nil"/>
              <w:left w:val="nil"/>
              <w:bottom w:val="single" w:sz="4" w:space="0" w:color="C0C0C0"/>
              <w:right w:val="single" w:sz="4" w:space="0" w:color="000000"/>
            </w:tcBorders>
            <w:shd w:val="clear" w:color="auto" w:fill="auto"/>
            <w:noWrap/>
            <w:vAlign w:val="center"/>
            <w:hideMark/>
          </w:tcPr>
          <w:p w14:paraId="5014FEA1"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116,1</w:t>
            </w:r>
          </w:p>
        </w:tc>
      </w:tr>
      <w:tr w:rsidR="00A920E6" w:rsidRPr="00A920E6" w14:paraId="1D9F58F5"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55A8B391" w14:textId="77777777" w:rsidR="00A920E6" w:rsidRPr="00A920E6" w:rsidRDefault="00A920E6" w:rsidP="00A920E6">
            <w:pPr>
              <w:rPr>
                <w:rFonts w:ascii="Arial" w:hAnsi="Arial" w:cs="Arial"/>
                <w:sz w:val="18"/>
                <w:szCs w:val="18"/>
              </w:rPr>
            </w:pPr>
            <w:r w:rsidRPr="00A920E6">
              <w:rPr>
                <w:rFonts w:ascii="Arial" w:hAnsi="Arial" w:cs="Arial"/>
                <w:sz w:val="18"/>
                <w:szCs w:val="18"/>
              </w:rPr>
              <w:t>32942</w:t>
            </w:r>
          </w:p>
        </w:tc>
        <w:tc>
          <w:tcPr>
            <w:tcW w:w="5157" w:type="dxa"/>
            <w:tcBorders>
              <w:top w:val="nil"/>
              <w:left w:val="nil"/>
              <w:bottom w:val="single" w:sz="4" w:space="0" w:color="C0C0C0"/>
              <w:right w:val="single" w:sz="4" w:space="0" w:color="000080"/>
            </w:tcBorders>
            <w:shd w:val="clear" w:color="auto" w:fill="auto"/>
            <w:vAlign w:val="center"/>
            <w:hideMark/>
          </w:tcPr>
          <w:p w14:paraId="43FDAC73" w14:textId="77777777" w:rsidR="00A920E6" w:rsidRPr="00A920E6" w:rsidRDefault="00A920E6" w:rsidP="00A920E6">
            <w:pPr>
              <w:rPr>
                <w:rFonts w:ascii="Arial" w:hAnsi="Arial" w:cs="Arial"/>
                <w:sz w:val="18"/>
                <w:szCs w:val="18"/>
              </w:rPr>
            </w:pPr>
            <w:r w:rsidRPr="00A920E6">
              <w:rPr>
                <w:rFonts w:ascii="Arial" w:hAnsi="Arial" w:cs="Arial"/>
                <w:sz w:val="18"/>
                <w:szCs w:val="18"/>
              </w:rPr>
              <w:t>Međunarodne članarine</w:t>
            </w:r>
          </w:p>
        </w:tc>
        <w:tc>
          <w:tcPr>
            <w:tcW w:w="2919" w:type="dxa"/>
            <w:tcBorders>
              <w:top w:val="nil"/>
              <w:left w:val="nil"/>
              <w:bottom w:val="single" w:sz="4" w:space="0" w:color="C0C0C0"/>
              <w:right w:val="single" w:sz="4" w:space="0" w:color="000080"/>
            </w:tcBorders>
            <w:shd w:val="clear" w:color="auto" w:fill="auto"/>
            <w:vAlign w:val="center"/>
            <w:hideMark/>
          </w:tcPr>
          <w:p w14:paraId="75CD8B65" w14:textId="77777777" w:rsidR="00A920E6" w:rsidRPr="00A920E6" w:rsidRDefault="00A920E6" w:rsidP="00A920E6">
            <w:pPr>
              <w:rPr>
                <w:rFonts w:ascii="Arial" w:hAnsi="Arial" w:cs="Arial"/>
                <w:b/>
                <w:bCs/>
                <w:sz w:val="18"/>
                <w:szCs w:val="18"/>
              </w:rPr>
            </w:pPr>
            <w:r w:rsidRPr="00A920E6">
              <w:rPr>
                <w:rFonts w:ascii="Arial" w:hAnsi="Arial" w:cs="Arial"/>
                <w:b/>
                <w:bCs/>
                <w:sz w:val="18"/>
                <w:szCs w:val="18"/>
              </w:rPr>
              <w:t>32942</w:t>
            </w:r>
          </w:p>
        </w:tc>
        <w:tc>
          <w:tcPr>
            <w:tcW w:w="1462" w:type="dxa"/>
            <w:tcBorders>
              <w:top w:val="nil"/>
              <w:left w:val="nil"/>
              <w:bottom w:val="single" w:sz="4" w:space="0" w:color="C0C0C0"/>
              <w:right w:val="single" w:sz="4" w:space="0" w:color="000080"/>
            </w:tcBorders>
            <w:shd w:val="clear" w:color="auto" w:fill="auto"/>
            <w:noWrap/>
            <w:vAlign w:val="center"/>
            <w:hideMark/>
          </w:tcPr>
          <w:p w14:paraId="696996CD"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566.937,23</w:t>
            </w:r>
          </w:p>
        </w:tc>
        <w:tc>
          <w:tcPr>
            <w:tcW w:w="1462" w:type="dxa"/>
            <w:tcBorders>
              <w:top w:val="nil"/>
              <w:left w:val="nil"/>
              <w:bottom w:val="single" w:sz="4" w:space="0" w:color="C0C0C0"/>
              <w:right w:val="single" w:sz="4" w:space="0" w:color="000080"/>
            </w:tcBorders>
            <w:shd w:val="clear" w:color="auto" w:fill="auto"/>
            <w:noWrap/>
            <w:vAlign w:val="center"/>
            <w:hideMark/>
          </w:tcPr>
          <w:p w14:paraId="12CB3315"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596.406,23</w:t>
            </w:r>
          </w:p>
        </w:tc>
        <w:tc>
          <w:tcPr>
            <w:tcW w:w="1574" w:type="dxa"/>
            <w:tcBorders>
              <w:top w:val="nil"/>
              <w:left w:val="nil"/>
              <w:bottom w:val="single" w:sz="4" w:space="0" w:color="C0C0C0"/>
              <w:right w:val="single" w:sz="4" w:space="0" w:color="000000"/>
            </w:tcBorders>
            <w:shd w:val="clear" w:color="auto" w:fill="auto"/>
            <w:noWrap/>
            <w:vAlign w:val="center"/>
            <w:hideMark/>
          </w:tcPr>
          <w:p w14:paraId="187362BB"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105,2</w:t>
            </w:r>
          </w:p>
        </w:tc>
      </w:tr>
      <w:tr w:rsidR="00A920E6" w:rsidRPr="00A920E6" w14:paraId="2E39E0A1"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05246B40" w14:textId="77777777" w:rsidR="00A920E6" w:rsidRPr="00A920E6" w:rsidRDefault="00A920E6" w:rsidP="00A920E6">
            <w:pPr>
              <w:rPr>
                <w:rFonts w:ascii="Arial" w:hAnsi="Arial" w:cs="Arial"/>
                <w:sz w:val="18"/>
                <w:szCs w:val="18"/>
              </w:rPr>
            </w:pPr>
            <w:r w:rsidRPr="00A920E6">
              <w:rPr>
                <w:rFonts w:ascii="Arial" w:hAnsi="Arial" w:cs="Arial"/>
                <w:sz w:val="18"/>
                <w:szCs w:val="18"/>
              </w:rPr>
              <w:t>32955</w:t>
            </w:r>
          </w:p>
        </w:tc>
        <w:tc>
          <w:tcPr>
            <w:tcW w:w="5157" w:type="dxa"/>
            <w:tcBorders>
              <w:top w:val="nil"/>
              <w:left w:val="nil"/>
              <w:bottom w:val="single" w:sz="4" w:space="0" w:color="C0C0C0"/>
              <w:right w:val="single" w:sz="4" w:space="0" w:color="000080"/>
            </w:tcBorders>
            <w:shd w:val="clear" w:color="auto" w:fill="auto"/>
            <w:vAlign w:val="center"/>
            <w:hideMark/>
          </w:tcPr>
          <w:p w14:paraId="61332B39" w14:textId="77777777" w:rsidR="00A920E6" w:rsidRPr="00A920E6" w:rsidRDefault="00A920E6" w:rsidP="00A920E6">
            <w:pPr>
              <w:rPr>
                <w:rFonts w:ascii="Arial" w:hAnsi="Arial" w:cs="Arial"/>
                <w:sz w:val="18"/>
                <w:szCs w:val="18"/>
              </w:rPr>
            </w:pPr>
            <w:r w:rsidRPr="00A920E6">
              <w:rPr>
                <w:rFonts w:ascii="Arial" w:hAnsi="Arial" w:cs="Arial"/>
                <w:sz w:val="18"/>
                <w:szCs w:val="18"/>
              </w:rPr>
              <w:t>Novčana naknada poslodavca zbog nezapošljavanja osoba s invaliditetom</w:t>
            </w:r>
          </w:p>
        </w:tc>
        <w:tc>
          <w:tcPr>
            <w:tcW w:w="2919" w:type="dxa"/>
            <w:tcBorders>
              <w:top w:val="nil"/>
              <w:left w:val="nil"/>
              <w:bottom w:val="single" w:sz="4" w:space="0" w:color="C0C0C0"/>
              <w:right w:val="single" w:sz="4" w:space="0" w:color="000080"/>
            </w:tcBorders>
            <w:shd w:val="clear" w:color="auto" w:fill="auto"/>
            <w:vAlign w:val="center"/>
            <w:hideMark/>
          </w:tcPr>
          <w:p w14:paraId="030E13A9" w14:textId="77777777" w:rsidR="00A920E6" w:rsidRPr="00A920E6" w:rsidRDefault="00A920E6" w:rsidP="00A920E6">
            <w:pPr>
              <w:rPr>
                <w:rFonts w:ascii="Arial" w:hAnsi="Arial" w:cs="Arial"/>
                <w:b/>
                <w:bCs/>
                <w:sz w:val="18"/>
                <w:szCs w:val="18"/>
              </w:rPr>
            </w:pPr>
            <w:r w:rsidRPr="00A920E6">
              <w:rPr>
                <w:rFonts w:ascii="Arial" w:hAnsi="Arial" w:cs="Arial"/>
                <w:b/>
                <w:bCs/>
                <w:sz w:val="18"/>
                <w:szCs w:val="18"/>
              </w:rPr>
              <w:t>32955</w:t>
            </w:r>
          </w:p>
        </w:tc>
        <w:tc>
          <w:tcPr>
            <w:tcW w:w="1462" w:type="dxa"/>
            <w:tcBorders>
              <w:top w:val="nil"/>
              <w:left w:val="nil"/>
              <w:bottom w:val="single" w:sz="4" w:space="0" w:color="C0C0C0"/>
              <w:right w:val="single" w:sz="4" w:space="0" w:color="000080"/>
            </w:tcBorders>
            <w:shd w:val="clear" w:color="auto" w:fill="auto"/>
            <w:noWrap/>
            <w:vAlign w:val="center"/>
            <w:hideMark/>
          </w:tcPr>
          <w:p w14:paraId="4E14E7BA"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20.552,00</w:t>
            </w:r>
          </w:p>
        </w:tc>
        <w:tc>
          <w:tcPr>
            <w:tcW w:w="1462" w:type="dxa"/>
            <w:tcBorders>
              <w:top w:val="nil"/>
              <w:left w:val="nil"/>
              <w:bottom w:val="single" w:sz="4" w:space="0" w:color="C0C0C0"/>
              <w:right w:val="single" w:sz="4" w:space="0" w:color="000080"/>
            </w:tcBorders>
            <w:shd w:val="clear" w:color="auto" w:fill="auto"/>
            <w:noWrap/>
            <w:vAlign w:val="center"/>
            <w:hideMark/>
          </w:tcPr>
          <w:p w14:paraId="130AA04B"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19.788,00</w:t>
            </w:r>
          </w:p>
        </w:tc>
        <w:tc>
          <w:tcPr>
            <w:tcW w:w="1574" w:type="dxa"/>
            <w:tcBorders>
              <w:top w:val="nil"/>
              <w:left w:val="nil"/>
              <w:bottom w:val="single" w:sz="4" w:space="0" w:color="C0C0C0"/>
              <w:right w:val="single" w:sz="4" w:space="0" w:color="000000"/>
            </w:tcBorders>
            <w:shd w:val="clear" w:color="auto" w:fill="auto"/>
            <w:noWrap/>
            <w:vAlign w:val="center"/>
            <w:hideMark/>
          </w:tcPr>
          <w:p w14:paraId="19B41FEF"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96,3</w:t>
            </w:r>
          </w:p>
        </w:tc>
      </w:tr>
      <w:tr w:rsidR="00A920E6" w:rsidRPr="00A920E6" w14:paraId="51B82A4C"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3F2C558D" w14:textId="77777777" w:rsidR="00A920E6" w:rsidRPr="00A920E6" w:rsidRDefault="00A920E6" w:rsidP="00A920E6">
            <w:pPr>
              <w:rPr>
                <w:rFonts w:ascii="Arial" w:hAnsi="Arial" w:cs="Arial"/>
                <w:sz w:val="18"/>
                <w:szCs w:val="18"/>
              </w:rPr>
            </w:pPr>
            <w:r w:rsidRPr="00A920E6">
              <w:rPr>
                <w:rFonts w:ascii="Arial" w:hAnsi="Arial" w:cs="Arial"/>
                <w:sz w:val="18"/>
                <w:szCs w:val="18"/>
              </w:rPr>
              <w:t>35232</w:t>
            </w:r>
          </w:p>
        </w:tc>
        <w:tc>
          <w:tcPr>
            <w:tcW w:w="5157" w:type="dxa"/>
            <w:tcBorders>
              <w:top w:val="nil"/>
              <w:left w:val="nil"/>
              <w:bottom w:val="single" w:sz="4" w:space="0" w:color="C0C0C0"/>
              <w:right w:val="single" w:sz="4" w:space="0" w:color="000080"/>
            </w:tcBorders>
            <w:shd w:val="clear" w:color="auto" w:fill="auto"/>
            <w:vAlign w:val="center"/>
            <w:hideMark/>
          </w:tcPr>
          <w:p w14:paraId="22DAD3AC" w14:textId="77777777" w:rsidR="00A920E6" w:rsidRPr="00A920E6" w:rsidRDefault="00A920E6" w:rsidP="00A920E6">
            <w:pPr>
              <w:rPr>
                <w:rFonts w:ascii="Arial" w:hAnsi="Arial" w:cs="Arial"/>
                <w:sz w:val="18"/>
                <w:szCs w:val="18"/>
              </w:rPr>
            </w:pPr>
            <w:r w:rsidRPr="00A920E6">
              <w:rPr>
                <w:rFonts w:ascii="Arial" w:hAnsi="Arial" w:cs="Arial"/>
                <w:sz w:val="18"/>
                <w:szCs w:val="18"/>
              </w:rPr>
              <w:t>Subvencije obrtnicima</w:t>
            </w:r>
          </w:p>
        </w:tc>
        <w:tc>
          <w:tcPr>
            <w:tcW w:w="2919" w:type="dxa"/>
            <w:tcBorders>
              <w:top w:val="nil"/>
              <w:left w:val="nil"/>
              <w:bottom w:val="single" w:sz="4" w:space="0" w:color="C0C0C0"/>
              <w:right w:val="single" w:sz="4" w:space="0" w:color="000080"/>
            </w:tcBorders>
            <w:shd w:val="clear" w:color="auto" w:fill="auto"/>
            <w:vAlign w:val="center"/>
            <w:hideMark/>
          </w:tcPr>
          <w:p w14:paraId="3FF731F8" w14:textId="77777777" w:rsidR="00A920E6" w:rsidRPr="00A920E6" w:rsidRDefault="00A920E6" w:rsidP="00A920E6">
            <w:pPr>
              <w:rPr>
                <w:rFonts w:ascii="Arial" w:hAnsi="Arial" w:cs="Arial"/>
                <w:b/>
                <w:bCs/>
                <w:sz w:val="18"/>
                <w:szCs w:val="18"/>
              </w:rPr>
            </w:pPr>
            <w:r w:rsidRPr="00A920E6">
              <w:rPr>
                <w:rFonts w:ascii="Arial" w:hAnsi="Arial" w:cs="Arial"/>
                <w:b/>
                <w:bCs/>
                <w:sz w:val="18"/>
                <w:szCs w:val="18"/>
              </w:rPr>
              <w:t>35232</w:t>
            </w:r>
          </w:p>
        </w:tc>
        <w:tc>
          <w:tcPr>
            <w:tcW w:w="1462" w:type="dxa"/>
            <w:tcBorders>
              <w:top w:val="nil"/>
              <w:left w:val="nil"/>
              <w:bottom w:val="single" w:sz="4" w:space="0" w:color="C0C0C0"/>
              <w:right w:val="single" w:sz="4" w:space="0" w:color="000080"/>
            </w:tcBorders>
            <w:shd w:val="clear" w:color="auto" w:fill="auto"/>
            <w:noWrap/>
            <w:vAlign w:val="center"/>
            <w:hideMark/>
          </w:tcPr>
          <w:p w14:paraId="0944D1B0"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487.979,85</w:t>
            </w:r>
          </w:p>
        </w:tc>
        <w:tc>
          <w:tcPr>
            <w:tcW w:w="1462" w:type="dxa"/>
            <w:tcBorders>
              <w:top w:val="nil"/>
              <w:left w:val="nil"/>
              <w:bottom w:val="single" w:sz="4" w:space="0" w:color="C0C0C0"/>
              <w:right w:val="single" w:sz="4" w:space="0" w:color="000080"/>
            </w:tcBorders>
            <w:shd w:val="clear" w:color="auto" w:fill="auto"/>
            <w:noWrap/>
            <w:vAlign w:val="center"/>
            <w:hideMark/>
          </w:tcPr>
          <w:p w14:paraId="302CF134"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450.616,57</w:t>
            </w:r>
          </w:p>
        </w:tc>
        <w:tc>
          <w:tcPr>
            <w:tcW w:w="1574" w:type="dxa"/>
            <w:tcBorders>
              <w:top w:val="nil"/>
              <w:left w:val="nil"/>
              <w:bottom w:val="single" w:sz="4" w:space="0" w:color="C0C0C0"/>
              <w:right w:val="single" w:sz="4" w:space="0" w:color="000000"/>
            </w:tcBorders>
            <w:shd w:val="clear" w:color="auto" w:fill="auto"/>
            <w:noWrap/>
            <w:vAlign w:val="center"/>
            <w:hideMark/>
          </w:tcPr>
          <w:p w14:paraId="472E2E6F"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92,3</w:t>
            </w:r>
          </w:p>
        </w:tc>
      </w:tr>
      <w:tr w:rsidR="00A920E6" w:rsidRPr="00A920E6" w14:paraId="532E9D32"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213B7483" w14:textId="77777777" w:rsidR="00A920E6" w:rsidRPr="00A920E6" w:rsidRDefault="00A920E6" w:rsidP="00A920E6">
            <w:pPr>
              <w:rPr>
                <w:rFonts w:ascii="Arial" w:hAnsi="Arial" w:cs="Arial"/>
                <w:sz w:val="18"/>
                <w:szCs w:val="18"/>
              </w:rPr>
            </w:pPr>
            <w:r w:rsidRPr="00A920E6">
              <w:rPr>
                <w:rFonts w:ascii="Arial" w:hAnsi="Arial" w:cs="Arial"/>
                <w:sz w:val="18"/>
                <w:szCs w:val="18"/>
              </w:rPr>
              <w:t>36313</w:t>
            </w:r>
          </w:p>
        </w:tc>
        <w:tc>
          <w:tcPr>
            <w:tcW w:w="5157" w:type="dxa"/>
            <w:tcBorders>
              <w:top w:val="nil"/>
              <w:left w:val="nil"/>
              <w:bottom w:val="single" w:sz="4" w:space="0" w:color="C0C0C0"/>
              <w:right w:val="single" w:sz="4" w:space="0" w:color="000080"/>
            </w:tcBorders>
            <w:shd w:val="clear" w:color="auto" w:fill="auto"/>
            <w:vAlign w:val="center"/>
            <w:hideMark/>
          </w:tcPr>
          <w:p w14:paraId="00F18356" w14:textId="77777777" w:rsidR="00A920E6" w:rsidRPr="00A920E6" w:rsidRDefault="00A920E6" w:rsidP="00A920E6">
            <w:pPr>
              <w:rPr>
                <w:rFonts w:ascii="Arial" w:hAnsi="Arial" w:cs="Arial"/>
                <w:sz w:val="18"/>
                <w:szCs w:val="18"/>
              </w:rPr>
            </w:pPr>
            <w:r w:rsidRPr="00A920E6">
              <w:rPr>
                <w:rFonts w:ascii="Arial" w:hAnsi="Arial" w:cs="Arial"/>
                <w:sz w:val="18"/>
                <w:szCs w:val="18"/>
              </w:rPr>
              <w:t>Tekuće pomoći državnom proračunu</w:t>
            </w:r>
          </w:p>
        </w:tc>
        <w:tc>
          <w:tcPr>
            <w:tcW w:w="2919" w:type="dxa"/>
            <w:tcBorders>
              <w:top w:val="nil"/>
              <w:left w:val="nil"/>
              <w:bottom w:val="single" w:sz="4" w:space="0" w:color="C0C0C0"/>
              <w:right w:val="single" w:sz="4" w:space="0" w:color="000080"/>
            </w:tcBorders>
            <w:shd w:val="clear" w:color="auto" w:fill="auto"/>
            <w:vAlign w:val="center"/>
            <w:hideMark/>
          </w:tcPr>
          <w:p w14:paraId="4C482121" w14:textId="77777777" w:rsidR="00A920E6" w:rsidRPr="00A920E6" w:rsidRDefault="00A920E6" w:rsidP="00A920E6">
            <w:pPr>
              <w:rPr>
                <w:rFonts w:ascii="Arial" w:hAnsi="Arial" w:cs="Arial"/>
                <w:b/>
                <w:bCs/>
                <w:sz w:val="18"/>
                <w:szCs w:val="18"/>
              </w:rPr>
            </w:pPr>
            <w:r w:rsidRPr="00A920E6">
              <w:rPr>
                <w:rFonts w:ascii="Arial" w:hAnsi="Arial" w:cs="Arial"/>
                <w:b/>
                <w:bCs/>
                <w:sz w:val="18"/>
                <w:szCs w:val="18"/>
              </w:rPr>
              <w:t>36313</w:t>
            </w:r>
          </w:p>
        </w:tc>
        <w:tc>
          <w:tcPr>
            <w:tcW w:w="1462" w:type="dxa"/>
            <w:tcBorders>
              <w:top w:val="nil"/>
              <w:left w:val="nil"/>
              <w:bottom w:val="single" w:sz="4" w:space="0" w:color="C0C0C0"/>
              <w:right w:val="single" w:sz="4" w:space="0" w:color="000080"/>
            </w:tcBorders>
            <w:shd w:val="clear" w:color="auto" w:fill="auto"/>
            <w:noWrap/>
            <w:vAlign w:val="center"/>
            <w:hideMark/>
          </w:tcPr>
          <w:p w14:paraId="062BD33F"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9.686,39</w:t>
            </w:r>
          </w:p>
        </w:tc>
        <w:tc>
          <w:tcPr>
            <w:tcW w:w="1462" w:type="dxa"/>
            <w:tcBorders>
              <w:top w:val="nil"/>
              <w:left w:val="nil"/>
              <w:bottom w:val="single" w:sz="4" w:space="0" w:color="C0C0C0"/>
              <w:right w:val="single" w:sz="4" w:space="0" w:color="000080"/>
            </w:tcBorders>
            <w:shd w:val="clear" w:color="auto" w:fill="auto"/>
            <w:noWrap/>
            <w:vAlign w:val="center"/>
            <w:hideMark/>
          </w:tcPr>
          <w:p w14:paraId="5A53D82D"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 </w:t>
            </w:r>
          </w:p>
        </w:tc>
        <w:tc>
          <w:tcPr>
            <w:tcW w:w="1574" w:type="dxa"/>
            <w:tcBorders>
              <w:top w:val="nil"/>
              <w:left w:val="nil"/>
              <w:bottom w:val="single" w:sz="4" w:space="0" w:color="C0C0C0"/>
              <w:right w:val="single" w:sz="4" w:space="0" w:color="000000"/>
            </w:tcBorders>
            <w:shd w:val="clear" w:color="auto" w:fill="auto"/>
            <w:noWrap/>
            <w:vAlign w:val="center"/>
            <w:hideMark/>
          </w:tcPr>
          <w:p w14:paraId="5D990A57"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0,0</w:t>
            </w:r>
          </w:p>
        </w:tc>
      </w:tr>
      <w:tr w:rsidR="00A920E6" w:rsidRPr="00A920E6" w14:paraId="75586E61"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3E516F17" w14:textId="77777777" w:rsidR="00A920E6" w:rsidRPr="00A920E6" w:rsidRDefault="00A920E6" w:rsidP="00A920E6">
            <w:pPr>
              <w:rPr>
                <w:rFonts w:ascii="Arial" w:hAnsi="Arial" w:cs="Arial"/>
                <w:sz w:val="18"/>
                <w:szCs w:val="18"/>
              </w:rPr>
            </w:pPr>
            <w:r w:rsidRPr="00A920E6">
              <w:rPr>
                <w:rFonts w:ascii="Arial" w:hAnsi="Arial" w:cs="Arial"/>
                <w:sz w:val="18"/>
                <w:szCs w:val="18"/>
              </w:rPr>
              <w:t>36314</w:t>
            </w:r>
          </w:p>
        </w:tc>
        <w:tc>
          <w:tcPr>
            <w:tcW w:w="5157" w:type="dxa"/>
            <w:tcBorders>
              <w:top w:val="nil"/>
              <w:left w:val="nil"/>
              <w:bottom w:val="single" w:sz="4" w:space="0" w:color="C0C0C0"/>
              <w:right w:val="single" w:sz="4" w:space="0" w:color="000080"/>
            </w:tcBorders>
            <w:shd w:val="clear" w:color="auto" w:fill="auto"/>
            <w:vAlign w:val="center"/>
            <w:hideMark/>
          </w:tcPr>
          <w:p w14:paraId="551F9CB9" w14:textId="77777777" w:rsidR="00A920E6" w:rsidRPr="00A920E6" w:rsidRDefault="00A920E6" w:rsidP="00A920E6">
            <w:pPr>
              <w:rPr>
                <w:rFonts w:ascii="Arial" w:hAnsi="Arial" w:cs="Arial"/>
                <w:sz w:val="18"/>
                <w:szCs w:val="18"/>
              </w:rPr>
            </w:pPr>
            <w:r w:rsidRPr="00A920E6">
              <w:rPr>
                <w:rFonts w:ascii="Arial" w:hAnsi="Arial" w:cs="Arial"/>
                <w:sz w:val="18"/>
                <w:szCs w:val="18"/>
              </w:rPr>
              <w:t>Tekuće pomoći županijskim proračunima</w:t>
            </w:r>
          </w:p>
        </w:tc>
        <w:tc>
          <w:tcPr>
            <w:tcW w:w="2919" w:type="dxa"/>
            <w:tcBorders>
              <w:top w:val="nil"/>
              <w:left w:val="nil"/>
              <w:bottom w:val="single" w:sz="4" w:space="0" w:color="C0C0C0"/>
              <w:right w:val="single" w:sz="4" w:space="0" w:color="000080"/>
            </w:tcBorders>
            <w:shd w:val="clear" w:color="auto" w:fill="auto"/>
            <w:vAlign w:val="center"/>
            <w:hideMark/>
          </w:tcPr>
          <w:p w14:paraId="38CC371B" w14:textId="77777777" w:rsidR="00A920E6" w:rsidRPr="00A920E6" w:rsidRDefault="00A920E6" w:rsidP="00A920E6">
            <w:pPr>
              <w:rPr>
                <w:rFonts w:ascii="Arial" w:hAnsi="Arial" w:cs="Arial"/>
                <w:b/>
                <w:bCs/>
                <w:sz w:val="18"/>
                <w:szCs w:val="18"/>
              </w:rPr>
            </w:pPr>
            <w:r w:rsidRPr="00A920E6">
              <w:rPr>
                <w:rFonts w:ascii="Arial" w:hAnsi="Arial" w:cs="Arial"/>
                <w:b/>
                <w:bCs/>
                <w:sz w:val="18"/>
                <w:szCs w:val="18"/>
              </w:rPr>
              <w:t>36314</w:t>
            </w:r>
          </w:p>
        </w:tc>
        <w:tc>
          <w:tcPr>
            <w:tcW w:w="1462" w:type="dxa"/>
            <w:tcBorders>
              <w:top w:val="nil"/>
              <w:left w:val="nil"/>
              <w:bottom w:val="single" w:sz="4" w:space="0" w:color="C0C0C0"/>
              <w:right w:val="single" w:sz="4" w:space="0" w:color="000080"/>
            </w:tcBorders>
            <w:shd w:val="clear" w:color="auto" w:fill="auto"/>
            <w:noWrap/>
            <w:vAlign w:val="center"/>
            <w:hideMark/>
          </w:tcPr>
          <w:p w14:paraId="0D6ACEBE"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13.930.328,94</w:t>
            </w:r>
          </w:p>
        </w:tc>
        <w:tc>
          <w:tcPr>
            <w:tcW w:w="1462" w:type="dxa"/>
            <w:tcBorders>
              <w:top w:val="nil"/>
              <w:left w:val="nil"/>
              <w:bottom w:val="single" w:sz="4" w:space="0" w:color="C0C0C0"/>
              <w:right w:val="single" w:sz="4" w:space="0" w:color="000080"/>
            </w:tcBorders>
            <w:shd w:val="clear" w:color="auto" w:fill="auto"/>
            <w:noWrap/>
            <w:vAlign w:val="center"/>
            <w:hideMark/>
          </w:tcPr>
          <w:p w14:paraId="558A10E2"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24.035.854,99</w:t>
            </w:r>
          </w:p>
        </w:tc>
        <w:tc>
          <w:tcPr>
            <w:tcW w:w="1574" w:type="dxa"/>
            <w:tcBorders>
              <w:top w:val="nil"/>
              <w:left w:val="nil"/>
              <w:bottom w:val="single" w:sz="4" w:space="0" w:color="C0C0C0"/>
              <w:right w:val="single" w:sz="4" w:space="0" w:color="000000"/>
            </w:tcBorders>
            <w:shd w:val="clear" w:color="auto" w:fill="auto"/>
            <w:noWrap/>
            <w:vAlign w:val="center"/>
            <w:hideMark/>
          </w:tcPr>
          <w:p w14:paraId="2CB6A158"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172,5</w:t>
            </w:r>
          </w:p>
        </w:tc>
      </w:tr>
      <w:tr w:rsidR="00A920E6" w:rsidRPr="00A920E6" w14:paraId="4456E875"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5C8F6F08" w14:textId="77777777" w:rsidR="00A920E6" w:rsidRPr="00A920E6" w:rsidRDefault="00A920E6" w:rsidP="00A920E6">
            <w:pPr>
              <w:rPr>
                <w:rFonts w:ascii="Arial" w:hAnsi="Arial" w:cs="Arial"/>
                <w:sz w:val="18"/>
                <w:szCs w:val="18"/>
              </w:rPr>
            </w:pPr>
            <w:r w:rsidRPr="00A920E6">
              <w:rPr>
                <w:rFonts w:ascii="Arial" w:hAnsi="Arial" w:cs="Arial"/>
                <w:sz w:val="18"/>
                <w:szCs w:val="18"/>
              </w:rPr>
              <w:t>36315</w:t>
            </w:r>
          </w:p>
        </w:tc>
        <w:tc>
          <w:tcPr>
            <w:tcW w:w="5157" w:type="dxa"/>
            <w:tcBorders>
              <w:top w:val="nil"/>
              <w:left w:val="nil"/>
              <w:bottom w:val="single" w:sz="4" w:space="0" w:color="C0C0C0"/>
              <w:right w:val="single" w:sz="4" w:space="0" w:color="000080"/>
            </w:tcBorders>
            <w:shd w:val="clear" w:color="auto" w:fill="auto"/>
            <w:vAlign w:val="center"/>
            <w:hideMark/>
          </w:tcPr>
          <w:p w14:paraId="05A3600D" w14:textId="77777777" w:rsidR="00A920E6" w:rsidRPr="00A920E6" w:rsidRDefault="00A920E6" w:rsidP="00A920E6">
            <w:pPr>
              <w:rPr>
                <w:rFonts w:ascii="Arial" w:hAnsi="Arial" w:cs="Arial"/>
                <w:sz w:val="18"/>
                <w:szCs w:val="18"/>
              </w:rPr>
            </w:pPr>
            <w:r w:rsidRPr="00A920E6">
              <w:rPr>
                <w:rFonts w:ascii="Arial" w:hAnsi="Arial" w:cs="Arial"/>
                <w:sz w:val="18"/>
                <w:szCs w:val="18"/>
              </w:rPr>
              <w:t>Tekuće pomoći gradskim proračunima</w:t>
            </w:r>
          </w:p>
        </w:tc>
        <w:tc>
          <w:tcPr>
            <w:tcW w:w="2919" w:type="dxa"/>
            <w:tcBorders>
              <w:top w:val="nil"/>
              <w:left w:val="nil"/>
              <w:bottom w:val="single" w:sz="4" w:space="0" w:color="C0C0C0"/>
              <w:right w:val="single" w:sz="4" w:space="0" w:color="000080"/>
            </w:tcBorders>
            <w:shd w:val="clear" w:color="auto" w:fill="auto"/>
            <w:vAlign w:val="center"/>
            <w:hideMark/>
          </w:tcPr>
          <w:p w14:paraId="67A8738A" w14:textId="77777777" w:rsidR="00A920E6" w:rsidRPr="00A920E6" w:rsidRDefault="00A920E6" w:rsidP="00A920E6">
            <w:pPr>
              <w:rPr>
                <w:rFonts w:ascii="Arial" w:hAnsi="Arial" w:cs="Arial"/>
                <w:b/>
                <w:bCs/>
                <w:sz w:val="18"/>
                <w:szCs w:val="18"/>
              </w:rPr>
            </w:pPr>
            <w:r w:rsidRPr="00A920E6">
              <w:rPr>
                <w:rFonts w:ascii="Arial" w:hAnsi="Arial" w:cs="Arial"/>
                <w:b/>
                <w:bCs/>
                <w:sz w:val="18"/>
                <w:szCs w:val="18"/>
              </w:rPr>
              <w:t>36315</w:t>
            </w:r>
          </w:p>
        </w:tc>
        <w:tc>
          <w:tcPr>
            <w:tcW w:w="1462" w:type="dxa"/>
            <w:tcBorders>
              <w:top w:val="nil"/>
              <w:left w:val="nil"/>
              <w:bottom w:val="single" w:sz="4" w:space="0" w:color="C0C0C0"/>
              <w:right w:val="single" w:sz="4" w:space="0" w:color="000080"/>
            </w:tcBorders>
            <w:shd w:val="clear" w:color="auto" w:fill="auto"/>
            <w:noWrap/>
            <w:vAlign w:val="center"/>
            <w:hideMark/>
          </w:tcPr>
          <w:p w14:paraId="44656467"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20.865,94</w:t>
            </w:r>
          </w:p>
        </w:tc>
        <w:tc>
          <w:tcPr>
            <w:tcW w:w="1462" w:type="dxa"/>
            <w:tcBorders>
              <w:top w:val="nil"/>
              <w:left w:val="nil"/>
              <w:bottom w:val="single" w:sz="4" w:space="0" w:color="C0C0C0"/>
              <w:right w:val="single" w:sz="4" w:space="0" w:color="000080"/>
            </w:tcBorders>
            <w:shd w:val="clear" w:color="auto" w:fill="auto"/>
            <w:noWrap/>
            <w:vAlign w:val="center"/>
            <w:hideMark/>
          </w:tcPr>
          <w:p w14:paraId="00C99325"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26.306,07</w:t>
            </w:r>
          </w:p>
        </w:tc>
        <w:tc>
          <w:tcPr>
            <w:tcW w:w="1574" w:type="dxa"/>
            <w:tcBorders>
              <w:top w:val="nil"/>
              <w:left w:val="nil"/>
              <w:bottom w:val="single" w:sz="4" w:space="0" w:color="C0C0C0"/>
              <w:right w:val="single" w:sz="4" w:space="0" w:color="000000"/>
            </w:tcBorders>
            <w:shd w:val="clear" w:color="auto" w:fill="auto"/>
            <w:noWrap/>
            <w:vAlign w:val="center"/>
            <w:hideMark/>
          </w:tcPr>
          <w:p w14:paraId="501EB01B"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126,1</w:t>
            </w:r>
          </w:p>
        </w:tc>
      </w:tr>
      <w:tr w:rsidR="00A920E6" w:rsidRPr="00A920E6" w14:paraId="51C91118"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55209DFB" w14:textId="77777777" w:rsidR="00A920E6" w:rsidRPr="00A920E6" w:rsidRDefault="00A920E6" w:rsidP="00A920E6">
            <w:pPr>
              <w:rPr>
                <w:rFonts w:ascii="Arial" w:hAnsi="Arial" w:cs="Arial"/>
                <w:sz w:val="18"/>
                <w:szCs w:val="18"/>
              </w:rPr>
            </w:pPr>
            <w:r w:rsidRPr="00A920E6">
              <w:rPr>
                <w:rFonts w:ascii="Arial" w:hAnsi="Arial" w:cs="Arial"/>
                <w:sz w:val="18"/>
                <w:szCs w:val="18"/>
              </w:rPr>
              <w:t>36316</w:t>
            </w:r>
          </w:p>
        </w:tc>
        <w:tc>
          <w:tcPr>
            <w:tcW w:w="5157" w:type="dxa"/>
            <w:tcBorders>
              <w:top w:val="nil"/>
              <w:left w:val="nil"/>
              <w:bottom w:val="single" w:sz="4" w:space="0" w:color="C0C0C0"/>
              <w:right w:val="single" w:sz="4" w:space="0" w:color="000080"/>
            </w:tcBorders>
            <w:shd w:val="clear" w:color="auto" w:fill="auto"/>
            <w:vAlign w:val="center"/>
            <w:hideMark/>
          </w:tcPr>
          <w:p w14:paraId="5F5978FA" w14:textId="77777777" w:rsidR="00A920E6" w:rsidRPr="00A920E6" w:rsidRDefault="00A920E6" w:rsidP="00A920E6">
            <w:pPr>
              <w:rPr>
                <w:rFonts w:ascii="Arial" w:hAnsi="Arial" w:cs="Arial"/>
                <w:sz w:val="18"/>
                <w:szCs w:val="18"/>
              </w:rPr>
            </w:pPr>
            <w:r w:rsidRPr="00A920E6">
              <w:rPr>
                <w:rFonts w:ascii="Arial" w:hAnsi="Arial" w:cs="Arial"/>
                <w:sz w:val="18"/>
                <w:szCs w:val="18"/>
              </w:rPr>
              <w:t>Tekuće pomoći općinskim proračunima</w:t>
            </w:r>
          </w:p>
        </w:tc>
        <w:tc>
          <w:tcPr>
            <w:tcW w:w="2919" w:type="dxa"/>
            <w:tcBorders>
              <w:top w:val="nil"/>
              <w:left w:val="nil"/>
              <w:bottom w:val="single" w:sz="4" w:space="0" w:color="C0C0C0"/>
              <w:right w:val="single" w:sz="4" w:space="0" w:color="000080"/>
            </w:tcBorders>
            <w:shd w:val="clear" w:color="auto" w:fill="auto"/>
            <w:vAlign w:val="center"/>
            <w:hideMark/>
          </w:tcPr>
          <w:p w14:paraId="06830403" w14:textId="77777777" w:rsidR="00A920E6" w:rsidRPr="00A920E6" w:rsidRDefault="00A920E6" w:rsidP="00A920E6">
            <w:pPr>
              <w:rPr>
                <w:rFonts w:ascii="Arial" w:hAnsi="Arial" w:cs="Arial"/>
                <w:b/>
                <w:bCs/>
                <w:sz w:val="18"/>
                <w:szCs w:val="18"/>
              </w:rPr>
            </w:pPr>
            <w:r w:rsidRPr="00A920E6">
              <w:rPr>
                <w:rFonts w:ascii="Arial" w:hAnsi="Arial" w:cs="Arial"/>
                <w:b/>
                <w:bCs/>
                <w:sz w:val="18"/>
                <w:szCs w:val="18"/>
              </w:rPr>
              <w:t>36316</w:t>
            </w:r>
          </w:p>
        </w:tc>
        <w:tc>
          <w:tcPr>
            <w:tcW w:w="1462" w:type="dxa"/>
            <w:tcBorders>
              <w:top w:val="nil"/>
              <w:left w:val="nil"/>
              <w:bottom w:val="single" w:sz="4" w:space="0" w:color="C0C0C0"/>
              <w:right w:val="single" w:sz="4" w:space="0" w:color="000080"/>
            </w:tcBorders>
            <w:shd w:val="clear" w:color="auto" w:fill="auto"/>
            <w:noWrap/>
            <w:vAlign w:val="center"/>
            <w:hideMark/>
          </w:tcPr>
          <w:p w14:paraId="6B3D9DDC"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161.724,89</w:t>
            </w:r>
          </w:p>
        </w:tc>
        <w:tc>
          <w:tcPr>
            <w:tcW w:w="1462" w:type="dxa"/>
            <w:tcBorders>
              <w:top w:val="nil"/>
              <w:left w:val="nil"/>
              <w:bottom w:val="single" w:sz="4" w:space="0" w:color="C0C0C0"/>
              <w:right w:val="single" w:sz="4" w:space="0" w:color="000080"/>
            </w:tcBorders>
            <w:shd w:val="clear" w:color="auto" w:fill="auto"/>
            <w:noWrap/>
            <w:vAlign w:val="center"/>
            <w:hideMark/>
          </w:tcPr>
          <w:p w14:paraId="35DDF8A9"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195.935,17</w:t>
            </w:r>
          </w:p>
        </w:tc>
        <w:tc>
          <w:tcPr>
            <w:tcW w:w="1574" w:type="dxa"/>
            <w:tcBorders>
              <w:top w:val="nil"/>
              <w:left w:val="nil"/>
              <w:bottom w:val="single" w:sz="4" w:space="0" w:color="C0C0C0"/>
              <w:right w:val="single" w:sz="4" w:space="0" w:color="000000"/>
            </w:tcBorders>
            <w:shd w:val="clear" w:color="auto" w:fill="auto"/>
            <w:noWrap/>
            <w:vAlign w:val="center"/>
            <w:hideMark/>
          </w:tcPr>
          <w:p w14:paraId="1F992910"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121,2</w:t>
            </w:r>
          </w:p>
        </w:tc>
      </w:tr>
      <w:tr w:rsidR="00A920E6" w:rsidRPr="00A920E6" w14:paraId="2DDDF9E4"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34D07038" w14:textId="77777777" w:rsidR="00A920E6" w:rsidRPr="00A920E6" w:rsidRDefault="00A920E6" w:rsidP="00A920E6">
            <w:pPr>
              <w:rPr>
                <w:rFonts w:ascii="Arial" w:hAnsi="Arial" w:cs="Arial"/>
                <w:sz w:val="18"/>
                <w:szCs w:val="18"/>
              </w:rPr>
            </w:pPr>
            <w:r w:rsidRPr="00A920E6">
              <w:rPr>
                <w:rFonts w:ascii="Arial" w:hAnsi="Arial" w:cs="Arial"/>
                <w:sz w:val="18"/>
                <w:szCs w:val="18"/>
              </w:rPr>
              <w:t>36318</w:t>
            </w:r>
          </w:p>
        </w:tc>
        <w:tc>
          <w:tcPr>
            <w:tcW w:w="5157" w:type="dxa"/>
            <w:tcBorders>
              <w:top w:val="nil"/>
              <w:left w:val="nil"/>
              <w:bottom w:val="single" w:sz="4" w:space="0" w:color="C0C0C0"/>
              <w:right w:val="single" w:sz="4" w:space="0" w:color="000080"/>
            </w:tcBorders>
            <w:shd w:val="clear" w:color="auto" w:fill="auto"/>
            <w:vAlign w:val="center"/>
            <w:hideMark/>
          </w:tcPr>
          <w:p w14:paraId="3B6DEA23" w14:textId="77777777" w:rsidR="00A920E6" w:rsidRPr="00A920E6" w:rsidRDefault="00A920E6" w:rsidP="00A920E6">
            <w:pPr>
              <w:rPr>
                <w:rFonts w:ascii="Arial" w:hAnsi="Arial" w:cs="Arial"/>
                <w:sz w:val="18"/>
                <w:szCs w:val="18"/>
              </w:rPr>
            </w:pPr>
            <w:r w:rsidRPr="00A920E6">
              <w:rPr>
                <w:rFonts w:ascii="Arial" w:hAnsi="Arial" w:cs="Arial"/>
                <w:sz w:val="18"/>
                <w:szCs w:val="18"/>
              </w:rPr>
              <w:t>Tekuće pomoći ostalim izvanproračunskim korisnicima državnog proračuna</w:t>
            </w:r>
          </w:p>
        </w:tc>
        <w:tc>
          <w:tcPr>
            <w:tcW w:w="2919" w:type="dxa"/>
            <w:tcBorders>
              <w:top w:val="nil"/>
              <w:left w:val="nil"/>
              <w:bottom w:val="single" w:sz="4" w:space="0" w:color="C0C0C0"/>
              <w:right w:val="single" w:sz="4" w:space="0" w:color="000080"/>
            </w:tcBorders>
            <w:shd w:val="clear" w:color="auto" w:fill="auto"/>
            <w:vAlign w:val="center"/>
            <w:hideMark/>
          </w:tcPr>
          <w:p w14:paraId="02BC19BC" w14:textId="77777777" w:rsidR="00A920E6" w:rsidRPr="00A920E6" w:rsidRDefault="00A920E6" w:rsidP="00A920E6">
            <w:pPr>
              <w:rPr>
                <w:rFonts w:ascii="Arial" w:hAnsi="Arial" w:cs="Arial"/>
                <w:b/>
                <w:bCs/>
                <w:sz w:val="18"/>
                <w:szCs w:val="18"/>
              </w:rPr>
            </w:pPr>
            <w:r w:rsidRPr="00A920E6">
              <w:rPr>
                <w:rFonts w:ascii="Arial" w:hAnsi="Arial" w:cs="Arial"/>
                <w:b/>
                <w:bCs/>
                <w:sz w:val="18"/>
                <w:szCs w:val="18"/>
              </w:rPr>
              <w:t>36318</w:t>
            </w:r>
          </w:p>
        </w:tc>
        <w:tc>
          <w:tcPr>
            <w:tcW w:w="1462" w:type="dxa"/>
            <w:tcBorders>
              <w:top w:val="nil"/>
              <w:left w:val="nil"/>
              <w:bottom w:val="single" w:sz="4" w:space="0" w:color="C0C0C0"/>
              <w:right w:val="single" w:sz="4" w:space="0" w:color="000080"/>
            </w:tcBorders>
            <w:shd w:val="clear" w:color="auto" w:fill="auto"/>
            <w:noWrap/>
            <w:vAlign w:val="center"/>
            <w:hideMark/>
          </w:tcPr>
          <w:p w14:paraId="0533ECAF"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164.708.573,21</w:t>
            </w:r>
          </w:p>
        </w:tc>
        <w:tc>
          <w:tcPr>
            <w:tcW w:w="1462" w:type="dxa"/>
            <w:tcBorders>
              <w:top w:val="nil"/>
              <w:left w:val="nil"/>
              <w:bottom w:val="single" w:sz="4" w:space="0" w:color="C0C0C0"/>
              <w:right w:val="single" w:sz="4" w:space="0" w:color="000080"/>
            </w:tcBorders>
            <w:shd w:val="clear" w:color="auto" w:fill="auto"/>
            <w:noWrap/>
            <w:vAlign w:val="center"/>
            <w:hideMark/>
          </w:tcPr>
          <w:p w14:paraId="340BAF92"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231.087.826,11</w:t>
            </w:r>
          </w:p>
        </w:tc>
        <w:tc>
          <w:tcPr>
            <w:tcW w:w="1574" w:type="dxa"/>
            <w:tcBorders>
              <w:top w:val="nil"/>
              <w:left w:val="nil"/>
              <w:bottom w:val="single" w:sz="4" w:space="0" w:color="C0C0C0"/>
              <w:right w:val="single" w:sz="4" w:space="0" w:color="000000"/>
            </w:tcBorders>
            <w:shd w:val="clear" w:color="auto" w:fill="auto"/>
            <w:noWrap/>
            <w:vAlign w:val="center"/>
            <w:hideMark/>
          </w:tcPr>
          <w:p w14:paraId="3F5B5523"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140,3</w:t>
            </w:r>
          </w:p>
        </w:tc>
      </w:tr>
      <w:tr w:rsidR="00A920E6" w:rsidRPr="00A920E6" w14:paraId="7664A221" w14:textId="77777777" w:rsidTr="00145A75">
        <w:trPr>
          <w:trHeight w:val="24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37C87DA4" w14:textId="77777777" w:rsidR="00A920E6" w:rsidRPr="00A920E6" w:rsidRDefault="00A920E6" w:rsidP="00A920E6">
            <w:pPr>
              <w:rPr>
                <w:rFonts w:ascii="Arial" w:hAnsi="Arial" w:cs="Arial"/>
                <w:sz w:val="18"/>
                <w:szCs w:val="18"/>
              </w:rPr>
            </w:pPr>
            <w:r w:rsidRPr="00A920E6">
              <w:rPr>
                <w:rFonts w:ascii="Arial" w:hAnsi="Arial" w:cs="Arial"/>
                <w:sz w:val="18"/>
                <w:szCs w:val="18"/>
              </w:rPr>
              <w:t>36319</w:t>
            </w:r>
          </w:p>
        </w:tc>
        <w:tc>
          <w:tcPr>
            <w:tcW w:w="5157" w:type="dxa"/>
            <w:tcBorders>
              <w:top w:val="nil"/>
              <w:left w:val="nil"/>
              <w:bottom w:val="single" w:sz="4" w:space="0" w:color="C0C0C0"/>
              <w:right w:val="single" w:sz="4" w:space="0" w:color="000080"/>
            </w:tcBorders>
            <w:shd w:val="clear" w:color="auto" w:fill="auto"/>
            <w:vAlign w:val="center"/>
            <w:hideMark/>
          </w:tcPr>
          <w:p w14:paraId="2188BFF1" w14:textId="77777777" w:rsidR="00A920E6" w:rsidRPr="00A920E6" w:rsidRDefault="00A920E6" w:rsidP="00A920E6">
            <w:pPr>
              <w:rPr>
                <w:rFonts w:ascii="Arial" w:hAnsi="Arial" w:cs="Arial"/>
                <w:sz w:val="18"/>
                <w:szCs w:val="18"/>
              </w:rPr>
            </w:pPr>
            <w:r w:rsidRPr="00A920E6">
              <w:rPr>
                <w:rFonts w:ascii="Arial" w:hAnsi="Arial" w:cs="Arial"/>
                <w:sz w:val="18"/>
                <w:szCs w:val="18"/>
              </w:rPr>
              <w:t>Tekuće pomoći izvanproračunskim korisnicima JLP(R)S</w:t>
            </w:r>
          </w:p>
        </w:tc>
        <w:tc>
          <w:tcPr>
            <w:tcW w:w="2919" w:type="dxa"/>
            <w:tcBorders>
              <w:top w:val="nil"/>
              <w:left w:val="nil"/>
              <w:bottom w:val="single" w:sz="4" w:space="0" w:color="C0C0C0"/>
              <w:right w:val="single" w:sz="4" w:space="0" w:color="000080"/>
            </w:tcBorders>
            <w:shd w:val="clear" w:color="auto" w:fill="auto"/>
            <w:vAlign w:val="center"/>
            <w:hideMark/>
          </w:tcPr>
          <w:p w14:paraId="16383F58" w14:textId="77777777" w:rsidR="00A920E6" w:rsidRPr="00A920E6" w:rsidRDefault="00A920E6" w:rsidP="00A920E6">
            <w:pPr>
              <w:rPr>
                <w:rFonts w:ascii="Arial" w:hAnsi="Arial" w:cs="Arial"/>
                <w:b/>
                <w:bCs/>
                <w:sz w:val="18"/>
                <w:szCs w:val="18"/>
              </w:rPr>
            </w:pPr>
            <w:r w:rsidRPr="00A920E6">
              <w:rPr>
                <w:rFonts w:ascii="Arial" w:hAnsi="Arial" w:cs="Arial"/>
                <w:b/>
                <w:bCs/>
                <w:sz w:val="18"/>
                <w:szCs w:val="18"/>
              </w:rPr>
              <w:t>36319</w:t>
            </w:r>
          </w:p>
        </w:tc>
        <w:tc>
          <w:tcPr>
            <w:tcW w:w="1462" w:type="dxa"/>
            <w:tcBorders>
              <w:top w:val="nil"/>
              <w:left w:val="nil"/>
              <w:bottom w:val="single" w:sz="4" w:space="0" w:color="C0C0C0"/>
              <w:right w:val="single" w:sz="4" w:space="0" w:color="000080"/>
            </w:tcBorders>
            <w:shd w:val="clear" w:color="auto" w:fill="auto"/>
            <w:noWrap/>
            <w:vAlign w:val="center"/>
            <w:hideMark/>
          </w:tcPr>
          <w:p w14:paraId="06E2CEB1"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1.794,48</w:t>
            </w:r>
          </w:p>
        </w:tc>
        <w:tc>
          <w:tcPr>
            <w:tcW w:w="1462" w:type="dxa"/>
            <w:tcBorders>
              <w:top w:val="nil"/>
              <w:left w:val="nil"/>
              <w:bottom w:val="single" w:sz="4" w:space="0" w:color="C0C0C0"/>
              <w:right w:val="single" w:sz="4" w:space="0" w:color="000080"/>
            </w:tcBorders>
            <w:shd w:val="clear" w:color="auto" w:fill="auto"/>
            <w:noWrap/>
            <w:vAlign w:val="center"/>
            <w:hideMark/>
          </w:tcPr>
          <w:p w14:paraId="462006DC"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 </w:t>
            </w:r>
          </w:p>
        </w:tc>
        <w:tc>
          <w:tcPr>
            <w:tcW w:w="1574" w:type="dxa"/>
            <w:tcBorders>
              <w:top w:val="nil"/>
              <w:left w:val="nil"/>
              <w:bottom w:val="single" w:sz="4" w:space="0" w:color="C0C0C0"/>
              <w:right w:val="single" w:sz="4" w:space="0" w:color="000000"/>
            </w:tcBorders>
            <w:shd w:val="clear" w:color="auto" w:fill="auto"/>
            <w:noWrap/>
            <w:vAlign w:val="center"/>
            <w:hideMark/>
          </w:tcPr>
          <w:p w14:paraId="55B4065B"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0,0</w:t>
            </w:r>
          </w:p>
        </w:tc>
      </w:tr>
      <w:tr w:rsidR="00A920E6" w:rsidRPr="00A920E6" w14:paraId="0D696239"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6F24DD8F" w14:textId="77777777" w:rsidR="00A920E6" w:rsidRPr="00A920E6" w:rsidRDefault="00A920E6" w:rsidP="00A920E6">
            <w:pPr>
              <w:rPr>
                <w:rFonts w:ascii="Arial" w:hAnsi="Arial" w:cs="Arial"/>
                <w:sz w:val="18"/>
                <w:szCs w:val="18"/>
              </w:rPr>
            </w:pPr>
            <w:r w:rsidRPr="00A920E6">
              <w:rPr>
                <w:rFonts w:ascii="Arial" w:hAnsi="Arial" w:cs="Arial"/>
                <w:sz w:val="18"/>
                <w:szCs w:val="18"/>
              </w:rPr>
              <w:t>36325</w:t>
            </w:r>
          </w:p>
        </w:tc>
        <w:tc>
          <w:tcPr>
            <w:tcW w:w="5157" w:type="dxa"/>
            <w:tcBorders>
              <w:top w:val="nil"/>
              <w:left w:val="nil"/>
              <w:bottom w:val="single" w:sz="4" w:space="0" w:color="C0C0C0"/>
              <w:right w:val="single" w:sz="4" w:space="0" w:color="000080"/>
            </w:tcBorders>
            <w:shd w:val="clear" w:color="auto" w:fill="auto"/>
            <w:vAlign w:val="center"/>
            <w:hideMark/>
          </w:tcPr>
          <w:p w14:paraId="7454B307" w14:textId="77777777" w:rsidR="00A920E6" w:rsidRPr="00A920E6" w:rsidRDefault="00A920E6" w:rsidP="00A920E6">
            <w:pPr>
              <w:rPr>
                <w:rFonts w:ascii="Arial" w:hAnsi="Arial" w:cs="Arial"/>
                <w:sz w:val="18"/>
                <w:szCs w:val="18"/>
              </w:rPr>
            </w:pPr>
            <w:r w:rsidRPr="00A920E6">
              <w:rPr>
                <w:rFonts w:ascii="Arial" w:hAnsi="Arial" w:cs="Arial"/>
                <w:sz w:val="18"/>
                <w:szCs w:val="18"/>
              </w:rPr>
              <w:t>Kapitalne pomoći gradskim proračunima</w:t>
            </w:r>
          </w:p>
        </w:tc>
        <w:tc>
          <w:tcPr>
            <w:tcW w:w="2919" w:type="dxa"/>
            <w:tcBorders>
              <w:top w:val="nil"/>
              <w:left w:val="nil"/>
              <w:bottom w:val="single" w:sz="4" w:space="0" w:color="C0C0C0"/>
              <w:right w:val="single" w:sz="4" w:space="0" w:color="000080"/>
            </w:tcBorders>
            <w:shd w:val="clear" w:color="auto" w:fill="auto"/>
            <w:vAlign w:val="center"/>
            <w:hideMark/>
          </w:tcPr>
          <w:p w14:paraId="70650BF3" w14:textId="77777777" w:rsidR="00A920E6" w:rsidRPr="00A920E6" w:rsidRDefault="00A920E6" w:rsidP="00A920E6">
            <w:pPr>
              <w:rPr>
                <w:rFonts w:ascii="Arial" w:hAnsi="Arial" w:cs="Arial"/>
                <w:b/>
                <w:bCs/>
                <w:sz w:val="18"/>
                <w:szCs w:val="18"/>
              </w:rPr>
            </w:pPr>
            <w:r w:rsidRPr="00A920E6">
              <w:rPr>
                <w:rFonts w:ascii="Arial" w:hAnsi="Arial" w:cs="Arial"/>
                <w:b/>
                <w:bCs/>
                <w:sz w:val="18"/>
                <w:szCs w:val="18"/>
              </w:rPr>
              <w:t>36325</w:t>
            </w:r>
          </w:p>
        </w:tc>
        <w:tc>
          <w:tcPr>
            <w:tcW w:w="1462" w:type="dxa"/>
            <w:tcBorders>
              <w:top w:val="nil"/>
              <w:left w:val="nil"/>
              <w:bottom w:val="single" w:sz="4" w:space="0" w:color="C0C0C0"/>
              <w:right w:val="single" w:sz="4" w:space="0" w:color="000080"/>
            </w:tcBorders>
            <w:shd w:val="clear" w:color="auto" w:fill="auto"/>
            <w:noWrap/>
            <w:vAlign w:val="center"/>
            <w:hideMark/>
          </w:tcPr>
          <w:p w14:paraId="6F886595"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6.227.575,26</w:t>
            </w:r>
          </w:p>
        </w:tc>
        <w:tc>
          <w:tcPr>
            <w:tcW w:w="1462" w:type="dxa"/>
            <w:tcBorders>
              <w:top w:val="nil"/>
              <w:left w:val="nil"/>
              <w:bottom w:val="single" w:sz="4" w:space="0" w:color="C0C0C0"/>
              <w:right w:val="single" w:sz="4" w:space="0" w:color="000080"/>
            </w:tcBorders>
            <w:shd w:val="clear" w:color="auto" w:fill="auto"/>
            <w:noWrap/>
            <w:vAlign w:val="center"/>
            <w:hideMark/>
          </w:tcPr>
          <w:p w14:paraId="5EADEC27"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4.102.905,43</w:t>
            </w:r>
          </w:p>
        </w:tc>
        <w:tc>
          <w:tcPr>
            <w:tcW w:w="1574" w:type="dxa"/>
            <w:tcBorders>
              <w:top w:val="nil"/>
              <w:left w:val="nil"/>
              <w:bottom w:val="single" w:sz="4" w:space="0" w:color="C0C0C0"/>
              <w:right w:val="single" w:sz="4" w:space="0" w:color="000000"/>
            </w:tcBorders>
            <w:shd w:val="clear" w:color="auto" w:fill="auto"/>
            <w:noWrap/>
            <w:vAlign w:val="center"/>
            <w:hideMark/>
          </w:tcPr>
          <w:p w14:paraId="51498B14"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65,9</w:t>
            </w:r>
          </w:p>
        </w:tc>
      </w:tr>
      <w:tr w:rsidR="00A920E6" w:rsidRPr="00A920E6" w14:paraId="6B88ED3D"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1EE9E406" w14:textId="77777777" w:rsidR="00A920E6" w:rsidRPr="00A920E6" w:rsidRDefault="00A920E6" w:rsidP="00A920E6">
            <w:pPr>
              <w:rPr>
                <w:rFonts w:ascii="Arial" w:hAnsi="Arial" w:cs="Arial"/>
                <w:sz w:val="18"/>
                <w:szCs w:val="18"/>
              </w:rPr>
            </w:pPr>
            <w:r w:rsidRPr="00A920E6">
              <w:rPr>
                <w:rFonts w:ascii="Arial" w:hAnsi="Arial" w:cs="Arial"/>
                <w:sz w:val="18"/>
                <w:szCs w:val="18"/>
              </w:rPr>
              <w:t>36326</w:t>
            </w:r>
          </w:p>
        </w:tc>
        <w:tc>
          <w:tcPr>
            <w:tcW w:w="5157" w:type="dxa"/>
            <w:tcBorders>
              <w:top w:val="nil"/>
              <w:left w:val="nil"/>
              <w:bottom w:val="single" w:sz="4" w:space="0" w:color="C0C0C0"/>
              <w:right w:val="single" w:sz="4" w:space="0" w:color="000080"/>
            </w:tcBorders>
            <w:shd w:val="clear" w:color="auto" w:fill="auto"/>
            <w:vAlign w:val="center"/>
            <w:hideMark/>
          </w:tcPr>
          <w:p w14:paraId="0DDD8051" w14:textId="77777777" w:rsidR="00A920E6" w:rsidRPr="00A920E6" w:rsidRDefault="00A920E6" w:rsidP="00A920E6">
            <w:pPr>
              <w:rPr>
                <w:rFonts w:ascii="Arial" w:hAnsi="Arial" w:cs="Arial"/>
                <w:sz w:val="18"/>
                <w:szCs w:val="18"/>
              </w:rPr>
            </w:pPr>
            <w:r w:rsidRPr="00A920E6">
              <w:rPr>
                <w:rFonts w:ascii="Arial" w:hAnsi="Arial" w:cs="Arial"/>
                <w:sz w:val="18"/>
                <w:szCs w:val="18"/>
              </w:rPr>
              <w:t>Kapitalne pomoći općinskim proračunima</w:t>
            </w:r>
          </w:p>
        </w:tc>
        <w:tc>
          <w:tcPr>
            <w:tcW w:w="2919" w:type="dxa"/>
            <w:tcBorders>
              <w:top w:val="nil"/>
              <w:left w:val="nil"/>
              <w:bottom w:val="single" w:sz="4" w:space="0" w:color="C0C0C0"/>
              <w:right w:val="single" w:sz="4" w:space="0" w:color="000080"/>
            </w:tcBorders>
            <w:shd w:val="clear" w:color="auto" w:fill="auto"/>
            <w:vAlign w:val="center"/>
            <w:hideMark/>
          </w:tcPr>
          <w:p w14:paraId="05905781" w14:textId="77777777" w:rsidR="00A920E6" w:rsidRPr="00A920E6" w:rsidRDefault="00A920E6" w:rsidP="00A920E6">
            <w:pPr>
              <w:rPr>
                <w:rFonts w:ascii="Arial" w:hAnsi="Arial" w:cs="Arial"/>
                <w:b/>
                <w:bCs/>
                <w:sz w:val="18"/>
                <w:szCs w:val="18"/>
              </w:rPr>
            </w:pPr>
            <w:r w:rsidRPr="00A920E6">
              <w:rPr>
                <w:rFonts w:ascii="Arial" w:hAnsi="Arial" w:cs="Arial"/>
                <w:b/>
                <w:bCs/>
                <w:sz w:val="18"/>
                <w:szCs w:val="18"/>
              </w:rPr>
              <w:t>36326</w:t>
            </w:r>
          </w:p>
        </w:tc>
        <w:tc>
          <w:tcPr>
            <w:tcW w:w="1462" w:type="dxa"/>
            <w:tcBorders>
              <w:top w:val="nil"/>
              <w:left w:val="nil"/>
              <w:bottom w:val="single" w:sz="4" w:space="0" w:color="C0C0C0"/>
              <w:right w:val="single" w:sz="4" w:space="0" w:color="000080"/>
            </w:tcBorders>
            <w:shd w:val="clear" w:color="auto" w:fill="auto"/>
            <w:noWrap/>
            <w:vAlign w:val="center"/>
            <w:hideMark/>
          </w:tcPr>
          <w:p w14:paraId="0D79AC8F"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4.489.992,78</w:t>
            </w:r>
          </w:p>
        </w:tc>
        <w:tc>
          <w:tcPr>
            <w:tcW w:w="1462" w:type="dxa"/>
            <w:tcBorders>
              <w:top w:val="nil"/>
              <w:left w:val="nil"/>
              <w:bottom w:val="single" w:sz="4" w:space="0" w:color="C0C0C0"/>
              <w:right w:val="single" w:sz="4" w:space="0" w:color="000080"/>
            </w:tcBorders>
            <w:shd w:val="clear" w:color="auto" w:fill="auto"/>
            <w:noWrap/>
            <w:vAlign w:val="center"/>
            <w:hideMark/>
          </w:tcPr>
          <w:p w14:paraId="0FDDA260"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2.947.687,06</w:t>
            </w:r>
          </w:p>
        </w:tc>
        <w:tc>
          <w:tcPr>
            <w:tcW w:w="1574" w:type="dxa"/>
            <w:tcBorders>
              <w:top w:val="nil"/>
              <w:left w:val="nil"/>
              <w:bottom w:val="single" w:sz="4" w:space="0" w:color="C0C0C0"/>
              <w:right w:val="single" w:sz="4" w:space="0" w:color="000000"/>
            </w:tcBorders>
            <w:shd w:val="clear" w:color="auto" w:fill="auto"/>
            <w:noWrap/>
            <w:vAlign w:val="center"/>
            <w:hideMark/>
          </w:tcPr>
          <w:p w14:paraId="44AAE7BC"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65,7</w:t>
            </w:r>
          </w:p>
        </w:tc>
      </w:tr>
      <w:tr w:rsidR="00A920E6" w:rsidRPr="00A920E6" w14:paraId="378EB2E6"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787C0929" w14:textId="77777777" w:rsidR="00A920E6" w:rsidRPr="00A920E6" w:rsidRDefault="00A920E6" w:rsidP="00A920E6">
            <w:pPr>
              <w:rPr>
                <w:rFonts w:ascii="Arial" w:hAnsi="Arial" w:cs="Arial"/>
                <w:sz w:val="18"/>
                <w:szCs w:val="18"/>
              </w:rPr>
            </w:pPr>
            <w:r w:rsidRPr="00A920E6">
              <w:rPr>
                <w:rFonts w:ascii="Arial" w:hAnsi="Arial" w:cs="Arial"/>
                <w:sz w:val="18"/>
                <w:szCs w:val="18"/>
              </w:rPr>
              <w:t>36328</w:t>
            </w:r>
          </w:p>
        </w:tc>
        <w:tc>
          <w:tcPr>
            <w:tcW w:w="5157" w:type="dxa"/>
            <w:tcBorders>
              <w:top w:val="nil"/>
              <w:left w:val="nil"/>
              <w:bottom w:val="single" w:sz="4" w:space="0" w:color="C0C0C0"/>
              <w:right w:val="single" w:sz="4" w:space="0" w:color="000080"/>
            </w:tcBorders>
            <w:shd w:val="clear" w:color="auto" w:fill="auto"/>
            <w:vAlign w:val="center"/>
            <w:hideMark/>
          </w:tcPr>
          <w:p w14:paraId="49786C32" w14:textId="77777777" w:rsidR="00A920E6" w:rsidRPr="00A920E6" w:rsidRDefault="00A920E6" w:rsidP="00A920E6">
            <w:pPr>
              <w:rPr>
                <w:rFonts w:ascii="Arial" w:hAnsi="Arial" w:cs="Arial"/>
                <w:sz w:val="18"/>
                <w:szCs w:val="18"/>
              </w:rPr>
            </w:pPr>
            <w:r w:rsidRPr="00A920E6">
              <w:rPr>
                <w:rFonts w:ascii="Arial" w:hAnsi="Arial" w:cs="Arial"/>
                <w:sz w:val="18"/>
                <w:szCs w:val="18"/>
              </w:rPr>
              <w:t>Kapitalne pomoći ostalim izvanproračunskim korisnicima državnog proračuna</w:t>
            </w:r>
          </w:p>
        </w:tc>
        <w:tc>
          <w:tcPr>
            <w:tcW w:w="2919" w:type="dxa"/>
            <w:tcBorders>
              <w:top w:val="nil"/>
              <w:left w:val="nil"/>
              <w:bottom w:val="single" w:sz="4" w:space="0" w:color="C0C0C0"/>
              <w:right w:val="single" w:sz="4" w:space="0" w:color="000080"/>
            </w:tcBorders>
            <w:shd w:val="clear" w:color="auto" w:fill="auto"/>
            <w:vAlign w:val="center"/>
            <w:hideMark/>
          </w:tcPr>
          <w:p w14:paraId="2BDB8F36" w14:textId="77777777" w:rsidR="00A920E6" w:rsidRPr="00A920E6" w:rsidRDefault="00A920E6" w:rsidP="00A920E6">
            <w:pPr>
              <w:rPr>
                <w:rFonts w:ascii="Arial" w:hAnsi="Arial" w:cs="Arial"/>
                <w:b/>
                <w:bCs/>
                <w:sz w:val="18"/>
                <w:szCs w:val="18"/>
              </w:rPr>
            </w:pPr>
            <w:r w:rsidRPr="00A920E6">
              <w:rPr>
                <w:rFonts w:ascii="Arial" w:hAnsi="Arial" w:cs="Arial"/>
                <w:b/>
                <w:bCs/>
                <w:sz w:val="18"/>
                <w:szCs w:val="18"/>
              </w:rPr>
              <w:t>36328</w:t>
            </w:r>
          </w:p>
        </w:tc>
        <w:tc>
          <w:tcPr>
            <w:tcW w:w="1462" w:type="dxa"/>
            <w:tcBorders>
              <w:top w:val="nil"/>
              <w:left w:val="nil"/>
              <w:bottom w:val="single" w:sz="4" w:space="0" w:color="C0C0C0"/>
              <w:right w:val="single" w:sz="4" w:space="0" w:color="000080"/>
            </w:tcBorders>
            <w:shd w:val="clear" w:color="auto" w:fill="auto"/>
            <w:noWrap/>
            <w:vAlign w:val="center"/>
            <w:hideMark/>
          </w:tcPr>
          <w:p w14:paraId="2111C450"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660.307.478,99</w:t>
            </w:r>
          </w:p>
        </w:tc>
        <w:tc>
          <w:tcPr>
            <w:tcW w:w="1462" w:type="dxa"/>
            <w:tcBorders>
              <w:top w:val="nil"/>
              <w:left w:val="nil"/>
              <w:bottom w:val="single" w:sz="4" w:space="0" w:color="C0C0C0"/>
              <w:right w:val="single" w:sz="4" w:space="0" w:color="000080"/>
            </w:tcBorders>
            <w:shd w:val="clear" w:color="auto" w:fill="auto"/>
            <w:noWrap/>
            <w:vAlign w:val="center"/>
            <w:hideMark/>
          </w:tcPr>
          <w:p w14:paraId="41A505A8"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779.937.039,85</w:t>
            </w:r>
          </w:p>
        </w:tc>
        <w:tc>
          <w:tcPr>
            <w:tcW w:w="1574" w:type="dxa"/>
            <w:tcBorders>
              <w:top w:val="nil"/>
              <w:left w:val="nil"/>
              <w:bottom w:val="single" w:sz="4" w:space="0" w:color="C0C0C0"/>
              <w:right w:val="single" w:sz="4" w:space="0" w:color="000000"/>
            </w:tcBorders>
            <w:shd w:val="clear" w:color="auto" w:fill="auto"/>
            <w:noWrap/>
            <w:vAlign w:val="center"/>
            <w:hideMark/>
          </w:tcPr>
          <w:p w14:paraId="72D6DAA4"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118,1</w:t>
            </w:r>
          </w:p>
        </w:tc>
      </w:tr>
      <w:tr w:rsidR="00A920E6" w:rsidRPr="00A920E6" w14:paraId="08975516" w14:textId="77777777" w:rsidTr="00145A75">
        <w:trPr>
          <w:trHeight w:val="24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7871FBFD" w14:textId="77777777" w:rsidR="00A920E6" w:rsidRPr="00A920E6" w:rsidRDefault="00A920E6" w:rsidP="00A920E6">
            <w:pPr>
              <w:rPr>
                <w:rFonts w:ascii="Arial" w:hAnsi="Arial" w:cs="Arial"/>
                <w:sz w:val="18"/>
                <w:szCs w:val="18"/>
              </w:rPr>
            </w:pPr>
            <w:r w:rsidRPr="00A920E6">
              <w:rPr>
                <w:rFonts w:ascii="Arial" w:hAnsi="Arial" w:cs="Arial"/>
                <w:sz w:val="18"/>
                <w:szCs w:val="18"/>
              </w:rPr>
              <w:lastRenderedPageBreak/>
              <w:t>36329</w:t>
            </w:r>
          </w:p>
        </w:tc>
        <w:tc>
          <w:tcPr>
            <w:tcW w:w="5157" w:type="dxa"/>
            <w:tcBorders>
              <w:top w:val="nil"/>
              <w:left w:val="nil"/>
              <w:bottom w:val="single" w:sz="4" w:space="0" w:color="C0C0C0"/>
              <w:right w:val="single" w:sz="4" w:space="0" w:color="000080"/>
            </w:tcBorders>
            <w:shd w:val="clear" w:color="auto" w:fill="auto"/>
            <w:vAlign w:val="center"/>
            <w:hideMark/>
          </w:tcPr>
          <w:p w14:paraId="47DD2254" w14:textId="77777777" w:rsidR="00A920E6" w:rsidRPr="00A920E6" w:rsidRDefault="00A920E6" w:rsidP="00A920E6">
            <w:pPr>
              <w:rPr>
                <w:rFonts w:ascii="Arial" w:hAnsi="Arial" w:cs="Arial"/>
                <w:sz w:val="18"/>
                <w:szCs w:val="18"/>
              </w:rPr>
            </w:pPr>
            <w:r w:rsidRPr="00A920E6">
              <w:rPr>
                <w:rFonts w:ascii="Arial" w:hAnsi="Arial" w:cs="Arial"/>
                <w:sz w:val="18"/>
                <w:szCs w:val="18"/>
              </w:rPr>
              <w:t>Kapitalne pomoći izvanproračunskim korisnicima JLP(R)S</w:t>
            </w:r>
          </w:p>
        </w:tc>
        <w:tc>
          <w:tcPr>
            <w:tcW w:w="2919" w:type="dxa"/>
            <w:tcBorders>
              <w:top w:val="nil"/>
              <w:left w:val="nil"/>
              <w:bottom w:val="single" w:sz="4" w:space="0" w:color="C0C0C0"/>
              <w:right w:val="single" w:sz="4" w:space="0" w:color="000080"/>
            </w:tcBorders>
            <w:shd w:val="clear" w:color="auto" w:fill="auto"/>
            <w:vAlign w:val="center"/>
            <w:hideMark/>
          </w:tcPr>
          <w:p w14:paraId="097ACF74" w14:textId="77777777" w:rsidR="00A920E6" w:rsidRPr="00A920E6" w:rsidRDefault="00A920E6" w:rsidP="00A920E6">
            <w:pPr>
              <w:rPr>
                <w:rFonts w:ascii="Arial" w:hAnsi="Arial" w:cs="Arial"/>
                <w:b/>
                <w:bCs/>
                <w:sz w:val="18"/>
                <w:szCs w:val="18"/>
              </w:rPr>
            </w:pPr>
            <w:r w:rsidRPr="00A920E6">
              <w:rPr>
                <w:rFonts w:ascii="Arial" w:hAnsi="Arial" w:cs="Arial"/>
                <w:b/>
                <w:bCs/>
                <w:sz w:val="18"/>
                <w:szCs w:val="18"/>
              </w:rPr>
              <w:t>36329</w:t>
            </w:r>
          </w:p>
        </w:tc>
        <w:tc>
          <w:tcPr>
            <w:tcW w:w="1462" w:type="dxa"/>
            <w:tcBorders>
              <w:top w:val="nil"/>
              <w:left w:val="nil"/>
              <w:bottom w:val="single" w:sz="4" w:space="0" w:color="C0C0C0"/>
              <w:right w:val="single" w:sz="4" w:space="0" w:color="000080"/>
            </w:tcBorders>
            <w:shd w:val="clear" w:color="auto" w:fill="auto"/>
            <w:noWrap/>
            <w:vAlign w:val="center"/>
            <w:hideMark/>
          </w:tcPr>
          <w:p w14:paraId="47754DF0"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32.647.770,91</w:t>
            </w:r>
          </w:p>
        </w:tc>
        <w:tc>
          <w:tcPr>
            <w:tcW w:w="1462" w:type="dxa"/>
            <w:tcBorders>
              <w:top w:val="nil"/>
              <w:left w:val="nil"/>
              <w:bottom w:val="single" w:sz="4" w:space="0" w:color="C0C0C0"/>
              <w:right w:val="single" w:sz="4" w:space="0" w:color="000080"/>
            </w:tcBorders>
            <w:shd w:val="clear" w:color="auto" w:fill="auto"/>
            <w:noWrap/>
            <w:vAlign w:val="center"/>
            <w:hideMark/>
          </w:tcPr>
          <w:p w14:paraId="7A3BBDE3"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14.395.957,94</w:t>
            </w:r>
          </w:p>
        </w:tc>
        <w:tc>
          <w:tcPr>
            <w:tcW w:w="1574" w:type="dxa"/>
            <w:tcBorders>
              <w:top w:val="nil"/>
              <w:left w:val="nil"/>
              <w:bottom w:val="single" w:sz="4" w:space="0" w:color="C0C0C0"/>
              <w:right w:val="single" w:sz="4" w:space="0" w:color="000000"/>
            </w:tcBorders>
            <w:shd w:val="clear" w:color="auto" w:fill="auto"/>
            <w:noWrap/>
            <w:vAlign w:val="center"/>
            <w:hideMark/>
          </w:tcPr>
          <w:p w14:paraId="60F0952A"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44,1</w:t>
            </w:r>
          </w:p>
        </w:tc>
      </w:tr>
      <w:tr w:rsidR="00A920E6" w:rsidRPr="00A920E6" w14:paraId="0BFA11B7"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4891D1EB"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36815</w:t>
            </w:r>
          </w:p>
        </w:tc>
        <w:tc>
          <w:tcPr>
            <w:tcW w:w="5157" w:type="dxa"/>
            <w:tcBorders>
              <w:top w:val="nil"/>
              <w:left w:val="nil"/>
              <w:bottom w:val="single" w:sz="4" w:space="0" w:color="C0C0C0"/>
              <w:right w:val="single" w:sz="4" w:space="0" w:color="000080"/>
            </w:tcBorders>
            <w:shd w:val="clear" w:color="auto" w:fill="auto"/>
            <w:vAlign w:val="center"/>
            <w:hideMark/>
          </w:tcPr>
          <w:p w14:paraId="1D2F08DA"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Tekuće pomoći županijskim proračunima temeljem prijenosa EU sredstava</w:t>
            </w:r>
          </w:p>
        </w:tc>
        <w:tc>
          <w:tcPr>
            <w:tcW w:w="2919" w:type="dxa"/>
            <w:tcBorders>
              <w:top w:val="nil"/>
              <w:left w:val="nil"/>
              <w:bottom w:val="single" w:sz="4" w:space="0" w:color="C0C0C0"/>
              <w:right w:val="single" w:sz="4" w:space="0" w:color="000080"/>
            </w:tcBorders>
            <w:shd w:val="clear" w:color="auto" w:fill="auto"/>
            <w:vAlign w:val="center"/>
            <w:hideMark/>
          </w:tcPr>
          <w:p w14:paraId="30735CED"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36815</w:t>
            </w:r>
          </w:p>
        </w:tc>
        <w:tc>
          <w:tcPr>
            <w:tcW w:w="1462" w:type="dxa"/>
            <w:tcBorders>
              <w:top w:val="nil"/>
              <w:left w:val="nil"/>
              <w:bottom w:val="single" w:sz="4" w:space="0" w:color="C0C0C0"/>
              <w:right w:val="single" w:sz="4" w:space="0" w:color="000080"/>
            </w:tcBorders>
            <w:shd w:val="clear" w:color="auto" w:fill="auto"/>
            <w:noWrap/>
            <w:vAlign w:val="center"/>
            <w:hideMark/>
          </w:tcPr>
          <w:p w14:paraId="54C0BFBF"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34.533,98</w:t>
            </w:r>
          </w:p>
        </w:tc>
        <w:tc>
          <w:tcPr>
            <w:tcW w:w="1462" w:type="dxa"/>
            <w:tcBorders>
              <w:top w:val="nil"/>
              <w:left w:val="nil"/>
              <w:bottom w:val="single" w:sz="4" w:space="0" w:color="C0C0C0"/>
              <w:right w:val="single" w:sz="4" w:space="0" w:color="000080"/>
            </w:tcBorders>
            <w:shd w:val="clear" w:color="auto" w:fill="auto"/>
            <w:noWrap/>
            <w:vAlign w:val="center"/>
            <w:hideMark/>
          </w:tcPr>
          <w:p w14:paraId="0188DF74"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 </w:t>
            </w:r>
          </w:p>
        </w:tc>
        <w:tc>
          <w:tcPr>
            <w:tcW w:w="1574" w:type="dxa"/>
            <w:tcBorders>
              <w:top w:val="nil"/>
              <w:left w:val="nil"/>
              <w:bottom w:val="single" w:sz="4" w:space="0" w:color="C0C0C0"/>
              <w:right w:val="single" w:sz="4" w:space="0" w:color="000000"/>
            </w:tcBorders>
            <w:shd w:val="clear" w:color="auto" w:fill="auto"/>
            <w:noWrap/>
            <w:vAlign w:val="center"/>
            <w:hideMark/>
          </w:tcPr>
          <w:p w14:paraId="7AF1092E"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0,0</w:t>
            </w:r>
          </w:p>
        </w:tc>
      </w:tr>
      <w:tr w:rsidR="00A920E6" w:rsidRPr="00A920E6" w14:paraId="4D193D3A"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13865CFE"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36816</w:t>
            </w:r>
          </w:p>
        </w:tc>
        <w:tc>
          <w:tcPr>
            <w:tcW w:w="5157" w:type="dxa"/>
            <w:tcBorders>
              <w:top w:val="nil"/>
              <w:left w:val="nil"/>
              <w:bottom w:val="single" w:sz="4" w:space="0" w:color="C0C0C0"/>
              <w:right w:val="single" w:sz="4" w:space="0" w:color="000080"/>
            </w:tcBorders>
            <w:shd w:val="clear" w:color="auto" w:fill="auto"/>
            <w:vAlign w:val="center"/>
            <w:hideMark/>
          </w:tcPr>
          <w:p w14:paraId="24AA4901"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Tekuće pomoći gradskim proračunima temeljem prijenosa EU sredstava</w:t>
            </w:r>
          </w:p>
        </w:tc>
        <w:tc>
          <w:tcPr>
            <w:tcW w:w="2919" w:type="dxa"/>
            <w:tcBorders>
              <w:top w:val="nil"/>
              <w:left w:val="nil"/>
              <w:bottom w:val="single" w:sz="4" w:space="0" w:color="C0C0C0"/>
              <w:right w:val="single" w:sz="4" w:space="0" w:color="000080"/>
            </w:tcBorders>
            <w:shd w:val="clear" w:color="auto" w:fill="auto"/>
            <w:vAlign w:val="center"/>
            <w:hideMark/>
          </w:tcPr>
          <w:p w14:paraId="33BF5ED7"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36816</w:t>
            </w:r>
          </w:p>
        </w:tc>
        <w:tc>
          <w:tcPr>
            <w:tcW w:w="1462" w:type="dxa"/>
            <w:tcBorders>
              <w:top w:val="nil"/>
              <w:left w:val="nil"/>
              <w:bottom w:val="single" w:sz="4" w:space="0" w:color="C0C0C0"/>
              <w:right w:val="single" w:sz="4" w:space="0" w:color="000080"/>
            </w:tcBorders>
            <w:shd w:val="clear" w:color="auto" w:fill="auto"/>
            <w:noWrap/>
            <w:vAlign w:val="center"/>
            <w:hideMark/>
          </w:tcPr>
          <w:p w14:paraId="4FA62FC7"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290.308,44</w:t>
            </w:r>
          </w:p>
        </w:tc>
        <w:tc>
          <w:tcPr>
            <w:tcW w:w="1462" w:type="dxa"/>
            <w:tcBorders>
              <w:top w:val="nil"/>
              <w:left w:val="nil"/>
              <w:bottom w:val="single" w:sz="4" w:space="0" w:color="C0C0C0"/>
              <w:right w:val="single" w:sz="4" w:space="0" w:color="000080"/>
            </w:tcBorders>
            <w:shd w:val="clear" w:color="auto" w:fill="auto"/>
            <w:noWrap/>
            <w:vAlign w:val="center"/>
            <w:hideMark/>
          </w:tcPr>
          <w:p w14:paraId="3583BEAF"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 </w:t>
            </w:r>
          </w:p>
        </w:tc>
        <w:tc>
          <w:tcPr>
            <w:tcW w:w="1574" w:type="dxa"/>
            <w:tcBorders>
              <w:top w:val="nil"/>
              <w:left w:val="nil"/>
              <w:bottom w:val="single" w:sz="4" w:space="0" w:color="C0C0C0"/>
              <w:right w:val="single" w:sz="4" w:space="0" w:color="000000"/>
            </w:tcBorders>
            <w:shd w:val="clear" w:color="auto" w:fill="auto"/>
            <w:noWrap/>
            <w:vAlign w:val="center"/>
            <w:hideMark/>
          </w:tcPr>
          <w:p w14:paraId="1A370DCD"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0,0</w:t>
            </w:r>
          </w:p>
        </w:tc>
      </w:tr>
      <w:tr w:rsidR="00A920E6" w:rsidRPr="00A920E6" w14:paraId="5578B982"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5C4EA60C"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36817</w:t>
            </w:r>
          </w:p>
        </w:tc>
        <w:tc>
          <w:tcPr>
            <w:tcW w:w="5157" w:type="dxa"/>
            <w:tcBorders>
              <w:top w:val="nil"/>
              <w:left w:val="nil"/>
              <w:bottom w:val="single" w:sz="4" w:space="0" w:color="C0C0C0"/>
              <w:right w:val="single" w:sz="4" w:space="0" w:color="000080"/>
            </w:tcBorders>
            <w:shd w:val="clear" w:color="auto" w:fill="auto"/>
            <w:vAlign w:val="center"/>
            <w:hideMark/>
          </w:tcPr>
          <w:p w14:paraId="5044FB3E"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Tekuće pomoći općinskim proračunima temeljem prijenosa EU sredstava</w:t>
            </w:r>
          </w:p>
        </w:tc>
        <w:tc>
          <w:tcPr>
            <w:tcW w:w="2919" w:type="dxa"/>
            <w:tcBorders>
              <w:top w:val="nil"/>
              <w:left w:val="nil"/>
              <w:bottom w:val="single" w:sz="4" w:space="0" w:color="C0C0C0"/>
              <w:right w:val="single" w:sz="4" w:space="0" w:color="000080"/>
            </w:tcBorders>
            <w:shd w:val="clear" w:color="auto" w:fill="auto"/>
            <w:vAlign w:val="center"/>
            <w:hideMark/>
          </w:tcPr>
          <w:p w14:paraId="01674E0C"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36817</w:t>
            </w:r>
          </w:p>
        </w:tc>
        <w:tc>
          <w:tcPr>
            <w:tcW w:w="1462" w:type="dxa"/>
            <w:tcBorders>
              <w:top w:val="nil"/>
              <w:left w:val="nil"/>
              <w:bottom w:val="single" w:sz="4" w:space="0" w:color="C0C0C0"/>
              <w:right w:val="single" w:sz="4" w:space="0" w:color="000080"/>
            </w:tcBorders>
            <w:shd w:val="clear" w:color="auto" w:fill="auto"/>
            <w:noWrap/>
            <w:vAlign w:val="center"/>
            <w:hideMark/>
          </w:tcPr>
          <w:p w14:paraId="7329D1A3"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42.439,52</w:t>
            </w:r>
          </w:p>
        </w:tc>
        <w:tc>
          <w:tcPr>
            <w:tcW w:w="1462" w:type="dxa"/>
            <w:tcBorders>
              <w:top w:val="nil"/>
              <w:left w:val="nil"/>
              <w:bottom w:val="single" w:sz="4" w:space="0" w:color="C0C0C0"/>
              <w:right w:val="single" w:sz="4" w:space="0" w:color="000080"/>
            </w:tcBorders>
            <w:shd w:val="clear" w:color="auto" w:fill="auto"/>
            <w:noWrap/>
            <w:vAlign w:val="center"/>
            <w:hideMark/>
          </w:tcPr>
          <w:p w14:paraId="265C4BA9"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 </w:t>
            </w:r>
          </w:p>
        </w:tc>
        <w:tc>
          <w:tcPr>
            <w:tcW w:w="1574" w:type="dxa"/>
            <w:tcBorders>
              <w:top w:val="nil"/>
              <w:left w:val="nil"/>
              <w:bottom w:val="single" w:sz="4" w:space="0" w:color="C0C0C0"/>
              <w:right w:val="single" w:sz="4" w:space="0" w:color="000000"/>
            </w:tcBorders>
            <w:shd w:val="clear" w:color="auto" w:fill="auto"/>
            <w:noWrap/>
            <w:vAlign w:val="center"/>
            <w:hideMark/>
          </w:tcPr>
          <w:p w14:paraId="3DCF518F"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0,0</w:t>
            </w:r>
          </w:p>
        </w:tc>
      </w:tr>
      <w:tr w:rsidR="00A920E6" w:rsidRPr="00A920E6" w14:paraId="547CE621"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137192E9" w14:textId="77777777" w:rsidR="00A920E6" w:rsidRPr="00A920E6" w:rsidRDefault="00A920E6" w:rsidP="00A920E6">
            <w:pPr>
              <w:rPr>
                <w:rFonts w:ascii="Arial" w:hAnsi="Arial" w:cs="Arial"/>
                <w:sz w:val="18"/>
                <w:szCs w:val="18"/>
              </w:rPr>
            </w:pPr>
            <w:r w:rsidRPr="00A920E6">
              <w:rPr>
                <w:rFonts w:ascii="Arial" w:hAnsi="Arial" w:cs="Arial"/>
                <w:sz w:val="18"/>
                <w:szCs w:val="18"/>
              </w:rPr>
              <w:t>36818</w:t>
            </w:r>
          </w:p>
        </w:tc>
        <w:tc>
          <w:tcPr>
            <w:tcW w:w="5157" w:type="dxa"/>
            <w:tcBorders>
              <w:top w:val="nil"/>
              <w:left w:val="nil"/>
              <w:bottom w:val="single" w:sz="4" w:space="0" w:color="C0C0C0"/>
              <w:right w:val="single" w:sz="4" w:space="0" w:color="000080"/>
            </w:tcBorders>
            <w:shd w:val="clear" w:color="auto" w:fill="auto"/>
            <w:vAlign w:val="center"/>
            <w:hideMark/>
          </w:tcPr>
          <w:p w14:paraId="071DB097" w14:textId="77777777" w:rsidR="00A920E6" w:rsidRPr="00A920E6" w:rsidRDefault="00A920E6" w:rsidP="00A920E6">
            <w:pPr>
              <w:rPr>
                <w:rFonts w:ascii="Arial" w:hAnsi="Arial" w:cs="Arial"/>
                <w:sz w:val="18"/>
                <w:szCs w:val="18"/>
              </w:rPr>
            </w:pPr>
            <w:r w:rsidRPr="00A920E6">
              <w:rPr>
                <w:rFonts w:ascii="Arial" w:hAnsi="Arial" w:cs="Arial"/>
                <w:sz w:val="18"/>
                <w:szCs w:val="18"/>
              </w:rPr>
              <w:t>Tekuće pomoći izvanproračunskim korisnicima državnog proračuna temeljem prijenosa EU sredstava</w:t>
            </w:r>
          </w:p>
        </w:tc>
        <w:tc>
          <w:tcPr>
            <w:tcW w:w="2919" w:type="dxa"/>
            <w:tcBorders>
              <w:top w:val="nil"/>
              <w:left w:val="nil"/>
              <w:bottom w:val="single" w:sz="4" w:space="0" w:color="C0C0C0"/>
              <w:right w:val="single" w:sz="4" w:space="0" w:color="000080"/>
            </w:tcBorders>
            <w:shd w:val="clear" w:color="auto" w:fill="auto"/>
            <w:vAlign w:val="center"/>
            <w:hideMark/>
          </w:tcPr>
          <w:p w14:paraId="190C5053" w14:textId="77777777" w:rsidR="00A920E6" w:rsidRPr="00A920E6" w:rsidRDefault="00A920E6" w:rsidP="00A920E6">
            <w:pPr>
              <w:rPr>
                <w:rFonts w:ascii="Arial" w:hAnsi="Arial" w:cs="Arial"/>
                <w:b/>
                <w:bCs/>
                <w:sz w:val="18"/>
                <w:szCs w:val="18"/>
              </w:rPr>
            </w:pPr>
            <w:r w:rsidRPr="00A920E6">
              <w:rPr>
                <w:rFonts w:ascii="Arial" w:hAnsi="Arial" w:cs="Arial"/>
                <w:b/>
                <w:bCs/>
                <w:sz w:val="18"/>
                <w:szCs w:val="18"/>
              </w:rPr>
              <w:t>36818</w:t>
            </w:r>
          </w:p>
        </w:tc>
        <w:tc>
          <w:tcPr>
            <w:tcW w:w="1462" w:type="dxa"/>
            <w:tcBorders>
              <w:top w:val="nil"/>
              <w:left w:val="nil"/>
              <w:bottom w:val="single" w:sz="4" w:space="0" w:color="C0C0C0"/>
              <w:right w:val="single" w:sz="4" w:space="0" w:color="000080"/>
            </w:tcBorders>
            <w:shd w:val="clear" w:color="auto" w:fill="auto"/>
            <w:noWrap/>
            <w:vAlign w:val="center"/>
            <w:hideMark/>
          </w:tcPr>
          <w:p w14:paraId="08722DDD"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311.713,11</w:t>
            </w:r>
          </w:p>
        </w:tc>
        <w:tc>
          <w:tcPr>
            <w:tcW w:w="1462" w:type="dxa"/>
            <w:tcBorders>
              <w:top w:val="nil"/>
              <w:left w:val="nil"/>
              <w:bottom w:val="single" w:sz="4" w:space="0" w:color="C0C0C0"/>
              <w:right w:val="single" w:sz="4" w:space="0" w:color="000080"/>
            </w:tcBorders>
            <w:shd w:val="clear" w:color="auto" w:fill="auto"/>
            <w:noWrap/>
            <w:vAlign w:val="center"/>
            <w:hideMark/>
          </w:tcPr>
          <w:p w14:paraId="1F56231F"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 </w:t>
            </w:r>
          </w:p>
        </w:tc>
        <w:tc>
          <w:tcPr>
            <w:tcW w:w="1574" w:type="dxa"/>
            <w:tcBorders>
              <w:top w:val="nil"/>
              <w:left w:val="nil"/>
              <w:bottom w:val="single" w:sz="4" w:space="0" w:color="C0C0C0"/>
              <w:right w:val="single" w:sz="4" w:space="0" w:color="000000"/>
            </w:tcBorders>
            <w:shd w:val="clear" w:color="auto" w:fill="auto"/>
            <w:noWrap/>
            <w:vAlign w:val="center"/>
            <w:hideMark/>
          </w:tcPr>
          <w:p w14:paraId="468E19B4"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0,0</w:t>
            </w:r>
          </w:p>
        </w:tc>
      </w:tr>
      <w:tr w:rsidR="00A920E6" w:rsidRPr="00A920E6" w14:paraId="2EA28566"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569574BA" w14:textId="77777777" w:rsidR="00A920E6" w:rsidRPr="00A920E6" w:rsidRDefault="00A920E6" w:rsidP="00A920E6">
            <w:pPr>
              <w:rPr>
                <w:rFonts w:ascii="Arial" w:hAnsi="Arial" w:cs="Arial"/>
                <w:sz w:val="18"/>
                <w:szCs w:val="18"/>
              </w:rPr>
            </w:pPr>
            <w:r w:rsidRPr="00A920E6">
              <w:rPr>
                <w:rFonts w:ascii="Arial" w:hAnsi="Arial" w:cs="Arial"/>
                <w:sz w:val="18"/>
                <w:szCs w:val="18"/>
              </w:rPr>
              <w:t>36819</w:t>
            </w:r>
          </w:p>
        </w:tc>
        <w:tc>
          <w:tcPr>
            <w:tcW w:w="5157" w:type="dxa"/>
            <w:tcBorders>
              <w:top w:val="nil"/>
              <w:left w:val="nil"/>
              <w:bottom w:val="single" w:sz="4" w:space="0" w:color="C0C0C0"/>
              <w:right w:val="single" w:sz="4" w:space="0" w:color="000080"/>
            </w:tcBorders>
            <w:shd w:val="clear" w:color="auto" w:fill="auto"/>
            <w:vAlign w:val="center"/>
            <w:hideMark/>
          </w:tcPr>
          <w:p w14:paraId="3EABDD43" w14:textId="77777777" w:rsidR="00A920E6" w:rsidRPr="00A920E6" w:rsidRDefault="00A920E6" w:rsidP="00A920E6">
            <w:pPr>
              <w:rPr>
                <w:rFonts w:ascii="Arial" w:hAnsi="Arial" w:cs="Arial"/>
                <w:sz w:val="18"/>
                <w:szCs w:val="18"/>
              </w:rPr>
            </w:pPr>
            <w:r w:rsidRPr="00A920E6">
              <w:rPr>
                <w:rFonts w:ascii="Arial" w:hAnsi="Arial" w:cs="Arial"/>
                <w:sz w:val="18"/>
                <w:szCs w:val="18"/>
              </w:rPr>
              <w:t>Tekuće pomoći izvanproračunskim korisnicima JLP(R)S temeljem prijenosa EU sredstava</w:t>
            </w:r>
          </w:p>
        </w:tc>
        <w:tc>
          <w:tcPr>
            <w:tcW w:w="2919" w:type="dxa"/>
            <w:tcBorders>
              <w:top w:val="nil"/>
              <w:left w:val="nil"/>
              <w:bottom w:val="single" w:sz="4" w:space="0" w:color="C0C0C0"/>
              <w:right w:val="single" w:sz="4" w:space="0" w:color="000080"/>
            </w:tcBorders>
            <w:shd w:val="clear" w:color="auto" w:fill="auto"/>
            <w:vAlign w:val="center"/>
            <w:hideMark/>
          </w:tcPr>
          <w:p w14:paraId="62541713" w14:textId="77777777" w:rsidR="00A920E6" w:rsidRPr="00A920E6" w:rsidRDefault="00A920E6" w:rsidP="00A920E6">
            <w:pPr>
              <w:rPr>
                <w:rFonts w:ascii="Arial" w:hAnsi="Arial" w:cs="Arial"/>
                <w:b/>
                <w:bCs/>
                <w:sz w:val="18"/>
                <w:szCs w:val="18"/>
              </w:rPr>
            </w:pPr>
            <w:r w:rsidRPr="00A920E6">
              <w:rPr>
                <w:rFonts w:ascii="Arial" w:hAnsi="Arial" w:cs="Arial"/>
                <w:b/>
                <w:bCs/>
                <w:sz w:val="18"/>
                <w:szCs w:val="18"/>
              </w:rPr>
              <w:t>36819</w:t>
            </w:r>
          </w:p>
        </w:tc>
        <w:tc>
          <w:tcPr>
            <w:tcW w:w="1462" w:type="dxa"/>
            <w:tcBorders>
              <w:top w:val="nil"/>
              <w:left w:val="nil"/>
              <w:bottom w:val="single" w:sz="4" w:space="0" w:color="C0C0C0"/>
              <w:right w:val="single" w:sz="4" w:space="0" w:color="000080"/>
            </w:tcBorders>
            <w:shd w:val="clear" w:color="auto" w:fill="auto"/>
            <w:noWrap/>
            <w:vAlign w:val="center"/>
            <w:hideMark/>
          </w:tcPr>
          <w:p w14:paraId="4F061589"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10.168,69</w:t>
            </w:r>
          </w:p>
        </w:tc>
        <w:tc>
          <w:tcPr>
            <w:tcW w:w="1462" w:type="dxa"/>
            <w:tcBorders>
              <w:top w:val="nil"/>
              <w:left w:val="nil"/>
              <w:bottom w:val="single" w:sz="4" w:space="0" w:color="C0C0C0"/>
              <w:right w:val="single" w:sz="4" w:space="0" w:color="000080"/>
            </w:tcBorders>
            <w:shd w:val="clear" w:color="auto" w:fill="auto"/>
            <w:noWrap/>
            <w:vAlign w:val="center"/>
            <w:hideMark/>
          </w:tcPr>
          <w:p w14:paraId="3774F63F"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 </w:t>
            </w:r>
          </w:p>
        </w:tc>
        <w:tc>
          <w:tcPr>
            <w:tcW w:w="1574" w:type="dxa"/>
            <w:tcBorders>
              <w:top w:val="nil"/>
              <w:left w:val="nil"/>
              <w:bottom w:val="single" w:sz="4" w:space="0" w:color="C0C0C0"/>
              <w:right w:val="single" w:sz="4" w:space="0" w:color="000000"/>
            </w:tcBorders>
            <w:shd w:val="clear" w:color="auto" w:fill="auto"/>
            <w:noWrap/>
            <w:vAlign w:val="center"/>
            <w:hideMark/>
          </w:tcPr>
          <w:p w14:paraId="1D17A1AF"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0,0</w:t>
            </w:r>
          </w:p>
        </w:tc>
      </w:tr>
      <w:tr w:rsidR="00A920E6" w:rsidRPr="00A920E6" w14:paraId="7022C0AE"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2BE47731" w14:textId="77777777" w:rsidR="00A920E6" w:rsidRPr="00A920E6" w:rsidRDefault="00A920E6" w:rsidP="00A920E6">
            <w:pPr>
              <w:rPr>
                <w:rFonts w:ascii="Arial" w:hAnsi="Arial" w:cs="Arial"/>
                <w:sz w:val="18"/>
                <w:szCs w:val="18"/>
              </w:rPr>
            </w:pPr>
            <w:r w:rsidRPr="00A920E6">
              <w:rPr>
                <w:rFonts w:ascii="Arial" w:hAnsi="Arial" w:cs="Arial"/>
                <w:sz w:val="18"/>
                <w:szCs w:val="18"/>
              </w:rPr>
              <w:t>36821</w:t>
            </w:r>
          </w:p>
        </w:tc>
        <w:tc>
          <w:tcPr>
            <w:tcW w:w="5157" w:type="dxa"/>
            <w:tcBorders>
              <w:top w:val="nil"/>
              <w:left w:val="nil"/>
              <w:bottom w:val="single" w:sz="4" w:space="0" w:color="C0C0C0"/>
              <w:right w:val="single" w:sz="4" w:space="0" w:color="000080"/>
            </w:tcBorders>
            <w:shd w:val="clear" w:color="auto" w:fill="auto"/>
            <w:vAlign w:val="center"/>
            <w:hideMark/>
          </w:tcPr>
          <w:p w14:paraId="76BD642B" w14:textId="77777777" w:rsidR="00A920E6" w:rsidRPr="00A920E6" w:rsidRDefault="00A920E6" w:rsidP="00A920E6">
            <w:pPr>
              <w:rPr>
                <w:rFonts w:ascii="Arial" w:hAnsi="Arial" w:cs="Arial"/>
                <w:sz w:val="18"/>
                <w:szCs w:val="18"/>
              </w:rPr>
            </w:pPr>
            <w:r w:rsidRPr="00A920E6">
              <w:rPr>
                <w:rFonts w:ascii="Arial" w:hAnsi="Arial" w:cs="Arial"/>
                <w:sz w:val="18"/>
                <w:szCs w:val="18"/>
              </w:rPr>
              <w:t>Kapitalne pomoći proračunskim korisnicima državnog proračuna temeljem prijenosa EU sredstava</w:t>
            </w:r>
          </w:p>
        </w:tc>
        <w:tc>
          <w:tcPr>
            <w:tcW w:w="2919" w:type="dxa"/>
            <w:tcBorders>
              <w:top w:val="nil"/>
              <w:left w:val="nil"/>
              <w:bottom w:val="single" w:sz="4" w:space="0" w:color="C0C0C0"/>
              <w:right w:val="single" w:sz="4" w:space="0" w:color="000080"/>
            </w:tcBorders>
            <w:shd w:val="clear" w:color="auto" w:fill="auto"/>
            <w:vAlign w:val="center"/>
            <w:hideMark/>
          </w:tcPr>
          <w:p w14:paraId="5AB8CFDD" w14:textId="77777777" w:rsidR="00A920E6" w:rsidRPr="00A920E6" w:rsidRDefault="00A920E6" w:rsidP="00A920E6">
            <w:pPr>
              <w:rPr>
                <w:rFonts w:ascii="Arial" w:hAnsi="Arial" w:cs="Arial"/>
                <w:b/>
                <w:bCs/>
                <w:sz w:val="18"/>
                <w:szCs w:val="18"/>
              </w:rPr>
            </w:pPr>
            <w:r w:rsidRPr="00A920E6">
              <w:rPr>
                <w:rFonts w:ascii="Arial" w:hAnsi="Arial" w:cs="Arial"/>
                <w:b/>
                <w:bCs/>
                <w:sz w:val="18"/>
                <w:szCs w:val="18"/>
              </w:rPr>
              <w:t>36821</w:t>
            </w:r>
          </w:p>
        </w:tc>
        <w:tc>
          <w:tcPr>
            <w:tcW w:w="1462" w:type="dxa"/>
            <w:tcBorders>
              <w:top w:val="nil"/>
              <w:left w:val="nil"/>
              <w:bottom w:val="single" w:sz="4" w:space="0" w:color="C0C0C0"/>
              <w:right w:val="single" w:sz="4" w:space="0" w:color="000080"/>
            </w:tcBorders>
            <w:shd w:val="clear" w:color="auto" w:fill="auto"/>
            <w:noWrap/>
            <w:vAlign w:val="center"/>
            <w:hideMark/>
          </w:tcPr>
          <w:p w14:paraId="7F0B3011"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6B3FF3C2"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 </w:t>
            </w:r>
          </w:p>
        </w:tc>
        <w:tc>
          <w:tcPr>
            <w:tcW w:w="1574" w:type="dxa"/>
            <w:tcBorders>
              <w:top w:val="nil"/>
              <w:left w:val="nil"/>
              <w:bottom w:val="single" w:sz="4" w:space="0" w:color="C0C0C0"/>
              <w:right w:val="single" w:sz="4" w:space="0" w:color="000000"/>
            </w:tcBorders>
            <w:shd w:val="clear" w:color="auto" w:fill="auto"/>
            <w:noWrap/>
            <w:vAlign w:val="center"/>
            <w:hideMark/>
          </w:tcPr>
          <w:p w14:paraId="0F7755C9"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w:t>
            </w:r>
          </w:p>
        </w:tc>
      </w:tr>
      <w:tr w:rsidR="00A920E6" w:rsidRPr="00A920E6" w14:paraId="7D7CA708"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0046CA0D" w14:textId="77777777" w:rsidR="00A920E6" w:rsidRPr="00A920E6" w:rsidRDefault="00A920E6" w:rsidP="00A920E6">
            <w:pPr>
              <w:rPr>
                <w:rFonts w:ascii="Arial" w:hAnsi="Arial" w:cs="Arial"/>
                <w:sz w:val="18"/>
                <w:szCs w:val="18"/>
              </w:rPr>
            </w:pPr>
            <w:r w:rsidRPr="00A920E6">
              <w:rPr>
                <w:rFonts w:ascii="Arial" w:hAnsi="Arial" w:cs="Arial"/>
                <w:sz w:val="18"/>
                <w:szCs w:val="18"/>
              </w:rPr>
              <w:t>36822</w:t>
            </w:r>
          </w:p>
        </w:tc>
        <w:tc>
          <w:tcPr>
            <w:tcW w:w="5157" w:type="dxa"/>
            <w:tcBorders>
              <w:top w:val="nil"/>
              <w:left w:val="nil"/>
              <w:bottom w:val="single" w:sz="4" w:space="0" w:color="C0C0C0"/>
              <w:right w:val="single" w:sz="4" w:space="0" w:color="000080"/>
            </w:tcBorders>
            <w:shd w:val="clear" w:color="auto" w:fill="auto"/>
            <w:vAlign w:val="center"/>
            <w:hideMark/>
          </w:tcPr>
          <w:p w14:paraId="36C20B7F" w14:textId="77777777" w:rsidR="00A920E6" w:rsidRPr="00A920E6" w:rsidRDefault="00A920E6" w:rsidP="00A920E6">
            <w:pPr>
              <w:rPr>
                <w:rFonts w:ascii="Arial" w:hAnsi="Arial" w:cs="Arial"/>
                <w:sz w:val="18"/>
                <w:szCs w:val="18"/>
              </w:rPr>
            </w:pPr>
            <w:r w:rsidRPr="00A920E6">
              <w:rPr>
                <w:rFonts w:ascii="Arial" w:hAnsi="Arial" w:cs="Arial"/>
                <w:sz w:val="18"/>
                <w:szCs w:val="18"/>
              </w:rPr>
              <w:t>Kapitalne pomoći proračunskim korisnicima županijskih proračuna temeljem prijenosa EU sredstava</w:t>
            </w:r>
          </w:p>
        </w:tc>
        <w:tc>
          <w:tcPr>
            <w:tcW w:w="2919" w:type="dxa"/>
            <w:tcBorders>
              <w:top w:val="nil"/>
              <w:left w:val="nil"/>
              <w:bottom w:val="single" w:sz="4" w:space="0" w:color="C0C0C0"/>
              <w:right w:val="single" w:sz="4" w:space="0" w:color="000080"/>
            </w:tcBorders>
            <w:shd w:val="clear" w:color="auto" w:fill="auto"/>
            <w:vAlign w:val="center"/>
            <w:hideMark/>
          </w:tcPr>
          <w:p w14:paraId="4D3FD883" w14:textId="77777777" w:rsidR="00A920E6" w:rsidRPr="00A920E6" w:rsidRDefault="00A920E6" w:rsidP="00A920E6">
            <w:pPr>
              <w:rPr>
                <w:rFonts w:ascii="Arial" w:hAnsi="Arial" w:cs="Arial"/>
                <w:b/>
                <w:bCs/>
                <w:sz w:val="18"/>
                <w:szCs w:val="18"/>
              </w:rPr>
            </w:pPr>
            <w:r w:rsidRPr="00A920E6">
              <w:rPr>
                <w:rFonts w:ascii="Arial" w:hAnsi="Arial" w:cs="Arial"/>
                <w:b/>
                <w:bCs/>
                <w:sz w:val="18"/>
                <w:szCs w:val="18"/>
              </w:rPr>
              <w:t>36822</w:t>
            </w:r>
          </w:p>
        </w:tc>
        <w:tc>
          <w:tcPr>
            <w:tcW w:w="1462" w:type="dxa"/>
            <w:tcBorders>
              <w:top w:val="nil"/>
              <w:left w:val="nil"/>
              <w:bottom w:val="single" w:sz="4" w:space="0" w:color="C0C0C0"/>
              <w:right w:val="single" w:sz="4" w:space="0" w:color="000080"/>
            </w:tcBorders>
            <w:shd w:val="clear" w:color="auto" w:fill="auto"/>
            <w:noWrap/>
            <w:vAlign w:val="center"/>
            <w:hideMark/>
          </w:tcPr>
          <w:p w14:paraId="2561E57F"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37ADECB0"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 </w:t>
            </w:r>
          </w:p>
        </w:tc>
        <w:tc>
          <w:tcPr>
            <w:tcW w:w="1574" w:type="dxa"/>
            <w:tcBorders>
              <w:top w:val="nil"/>
              <w:left w:val="nil"/>
              <w:bottom w:val="single" w:sz="4" w:space="0" w:color="C0C0C0"/>
              <w:right w:val="single" w:sz="4" w:space="0" w:color="000000"/>
            </w:tcBorders>
            <w:shd w:val="clear" w:color="auto" w:fill="auto"/>
            <w:noWrap/>
            <w:vAlign w:val="center"/>
            <w:hideMark/>
          </w:tcPr>
          <w:p w14:paraId="265DF494"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w:t>
            </w:r>
          </w:p>
        </w:tc>
      </w:tr>
      <w:tr w:rsidR="00A920E6" w:rsidRPr="00A920E6" w14:paraId="244924B8"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3220D2DF" w14:textId="77777777" w:rsidR="00A920E6" w:rsidRPr="00A920E6" w:rsidRDefault="00A920E6" w:rsidP="00A920E6">
            <w:pPr>
              <w:rPr>
                <w:rFonts w:ascii="Arial" w:hAnsi="Arial" w:cs="Arial"/>
                <w:sz w:val="18"/>
                <w:szCs w:val="18"/>
              </w:rPr>
            </w:pPr>
            <w:r w:rsidRPr="00A920E6">
              <w:rPr>
                <w:rFonts w:ascii="Arial" w:hAnsi="Arial" w:cs="Arial"/>
                <w:sz w:val="18"/>
                <w:szCs w:val="18"/>
              </w:rPr>
              <w:t>36823</w:t>
            </w:r>
          </w:p>
        </w:tc>
        <w:tc>
          <w:tcPr>
            <w:tcW w:w="5157" w:type="dxa"/>
            <w:tcBorders>
              <w:top w:val="nil"/>
              <w:left w:val="nil"/>
              <w:bottom w:val="single" w:sz="4" w:space="0" w:color="C0C0C0"/>
              <w:right w:val="single" w:sz="4" w:space="0" w:color="000080"/>
            </w:tcBorders>
            <w:shd w:val="clear" w:color="auto" w:fill="auto"/>
            <w:vAlign w:val="center"/>
            <w:hideMark/>
          </w:tcPr>
          <w:p w14:paraId="30467D52" w14:textId="77777777" w:rsidR="00A920E6" w:rsidRPr="00A920E6" w:rsidRDefault="00A920E6" w:rsidP="00A920E6">
            <w:pPr>
              <w:rPr>
                <w:rFonts w:ascii="Arial" w:hAnsi="Arial" w:cs="Arial"/>
                <w:sz w:val="18"/>
                <w:szCs w:val="18"/>
              </w:rPr>
            </w:pPr>
            <w:r w:rsidRPr="00A920E6">
              <w:rPr>
                <w:rFonts w:ascii="Arial" w:hAnsi="Arial" w:cs="Arial"/>
                <w:sz w:val="18"/>
                <w:szCs w:val="18"/>
              </w:rPr>
              <w:t>Kapitalne pomoći proračunskim korisnicima gradskih proračuna temeljem prijenosa EU sredstava</w:t>
            </w:r>
          </w:p>
        </w:tc>
        <w:tc>
          <w:tcPr>
            <w:tcW w:w="2919" w:type="dxa"/>
            <w:tcBorders>
              <w:top w:val="nil"/>
              <w:left w:val="nil"/>
              <w:bottom w:val="single" w:sz="4" w:space="0" w:color="C0C0C0"/>
              <w:right w:val="single" w:sz="4" w:space="0" w:color="000080"/>
            </w:tcBorders>
            <w:shd w:val="clear" w:color="auto" w:fill="auto"/>
            <w:vAlign w:val="center"/>
            <w:hideMark/>
          </w:tcPr>
          <w:p w14:paraId="1B427122" w14:textId="77777777" w:rsidR="00A920E6" w:rsidRPr="00A920E6" w:rsidRDefault="00A920E6" w:rsidP="00A920E6">
            <w:pPr>
              <w:rPr>
                <w:rFonts w:ascii="Arial" w:hAnsi="Arial" w:cs="Arial"/>
                <w:b/>
                <w:bCs/>
                <w:sz w:val="18"/>
                <w:szCs w:val="18"/>
              </w:rPr>
            </w:pPr>
            <w:r w:rsidRPr="00A920E6">
              <w:rPr>
                <w:rFonts w:ascii="Arial" w:hAnsi="Arial" w:cs="Arial"/>
                <w:b/>
                <w:bCs/>
                <w:sz w:val="18"/>
                <w:szCs w:val="18"/>
              </w:rPr>
              <w:t>36823</w:t>
            </w:r>
          </w:p>
        </w:tc>
        <w:tc>
          <w:tcPr>
            <w:tcW w:w="1462" w:type="dxa"/>
            <w:tcBorders>
              <w:top w:val="nil"/>
              <w:left w:val="nil"/>
              <w:bottom w:val="single" w:sz="4" w:space="0" w:color="C0C0C0"/>
              <w:right w:val="single" w:sz="4" w:space="0" w:color="000080"/>
            </w:tcBorders>
            <w:shd w:val="clear" w:color="auto" w:fill="auto"/>
            <w:noWrap/>
            <w:vAlign w:val="center"/>
            <w:hideMark/>
          </w:tcPr>
          <w:p w14:paraId="5EFADD9F"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59150669"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 </w:t>
            </w:r>
          </w:p>
        </w:tc>
        <w:tc>
          <w:tcPr>
            <w:tcW w:w="1574" w:type="dxa"/>
            <w:tcBorders>
              <w:top w:val="nil"/>
              <w:left w:val="nil"/>
              <w:bottom w:val="single" w:sz="4" w:space="0" w:color="C0C0C0"/>
              <w:right w:val="single" w:sz="4" w:space="0" w:color="000000"/>
            </w:tcBorders>
            <w:shd w:val="clear" w:color="auto" w:fill="auto"/>
            <w:noWrap/>
            <w:vAlign w:val="center"/>
            <w:hideMark/>
          </w:tcPr>
          <w:p w14:paraId="16A3C855"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w:t>
            </w:r>
          </w:p>
        </w:tc>
      </w:tr>
      <w:tr w:rsidR="00A920E6" w:rsidRPr="00A920E6" w14:paraId="040DB656"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25127765" w14:textId="77777777" w:rsidR="00A920E6" w:rsidRPr="00A920E6" w:rsidRDefault="00A920E6" w:rsidP="00A920E6">
            <w:pPr>
              <w:rPr>
                <w:rFonts w:ascii="Arial" w:hAnsi="Arial" w:cs="Arial"/>
                <w:sz w:val="18"/>
                <w:szCs w:val="18"/>
              </w:rPr>
            </w:pPr>
            <w:r w:rsidRPr="00A920E6">
              <w:rPr>
                <w:rFonts w:ascii="Arial" w:hAnsi="Arial" w:cs="Arial"/>
                <w:sz w:val="18"/>
                <w:szCs w:val="18"/>
              </w:rPr>
              <w:t>36824</w:t>
            </w:r>
          </w:p>
        </w:tc>
        <w:tc>
          <w:tcPr>
            <w:tcW w:w="5157" w:type="dxa"/>
            <w:tcBorders>
              <w:top w:val="nil"/>
              <w:left w:val="nil"/>
              <w:bottom w:val="single" w:sz="4" w:space="0" w:color="C0C0C0"/>
              <w:right w:val="single" w:sz="4" w:space="0" w:color="000080"/>
            </w:tcBorders>
            <w:shd w:val="clear" w:color="auto" w:fill="auto"/>
            <w:vAlign w:val="center"/>
            <w:hideMark/>
          </w:tcPr>
          <w:p w14:paraId="507B1B48" w14:textId="77777777" w:rsidR="00A920E6" w:rsidRPr="00A920E6" w:rsidRDefault="00A920E6" w:rsidP="00A920E6">
            <w:pPr>
              <w:rPr>
                <w:rFonts w:ascii="Arial" w:hAnsi="Arial" w:cs="Arial"/>
                <w:sz w:val="18"/>
                <w:szCs w:val="18"/>
              </w:rPr>
            </w:pPr>
            <w:r w:rsidRPr="00A920E6">
              <w:rPr>
                <w:rFonts w:ascii="Arial" w:hAnsi="Arial" w:cs="Arial"/>
                <w:sz w:val="18"/>
                <w:szCs w:val="18"/>
              </w:rPr>
              <w:t>Kapitalne pomoći proračunskim korisnicima općinskih proračuna temeljem prijenosa EU sredstava</w:t>
            </w:r>
          </w:p>
        </w:tc>
        <w:tc>
          <w:tcPr>
            <w:tcW w:w="2919" w:type="dxa"/>
            <w:tcBorders>
              <w:top w:val="nil"/>
              <w:left w:val="nil"/>
              <w:bottom w:val="single" w:sz="4" w:space="0" w:color="C0C0C0"/>
              <w:right w:val="single" w:sz="4" w:space="0" w:color="000080"/>
            </w:tcBorders>
            <w:shd w:val="clear" w:color="auto" w:fill="auto"/>
            <w:vAlign w:val="center"/>
            <w:hideMark/>
          </w:tcPr>
          <w:p w14:paraId="1DD27ED6" w14:textId="77777777" w:rsidR="00A920E6" w:rsidRPr="00A920E6" w:rsidRDefault="00A920E6" w:rsidP="00A920E6">
            <w:pPr>
              <w:rPr>
                <w:rFonts w:ascii="Arial" w:hAnsi="Arial" w:cs="Arial"/>
                <w:b/>
                <w:bCs/>
                <w:sz w:val="18"/>
                <w:szCs w:val="18"/>
              </w:rPr>
            </w:pPr>
            <w:r w:rsidRPr="00A920E6">
              <w:rPr>
                <w:rFonts w:ascii="Arial" w:hAnsi="Arial" w:cs="Arial"/>
                <w:b/>
                <w:bCs/>
                <w:sz w:val="18"/>
                <w:szCs w:val="18"/>
              </w:rPr>
              <w:t>36824</w:t>
            </w:r>
          </w:p>
        </w:tc>
        <w:tc>
          <w:tcPr>
            <w:tcW w:w="1462" w:type="dxa"/>
            <w:tcBorders>
              <w:top w:val="nil"/>
              <w:left w:val="nil"/>
              <w:bottom w:val="single" w:sz="4" w:space="0" w:color="C0C0C0"/>
              <w:right w:val="single" w:sz="4" w:space="0" w:color="000080"/>
            </w:tcBorders>
            <w:shd w:val="clear" w:color="auto" w:fill="auto"/>
            <w:noWrap/>
            <w:vAlign w:val="center"/>
            <w:hideMark/>
          </w:tcPr>
          <w:p w14:paraId="2F589DE0"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75AD74CF"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 </w:t>
            </w:r>
          </w:p>
        </w:tc>
        <w:tc>
          <w:tcPr>
            <w:tcW w:w="1574" w:type="dxa"/>
            <w:tcBorders>
              <w:top w:val="nil"/>
              <w:left w:val="nil"/>
              <w:bottom w:val="single" w:sz="4" w:space="0" w:color="C0C0C0"/>
              <w:right w:val="single" w:sz="4" w:space="0" w:color="000000"/>
            </w:tcBorders>
            <w:shd w:val="clear" w:color="auto" w:fill="auto"/>
            <w:noWrap/>
            <w:vAlign w:val="center"/>
            <w:hideMark/>
          </w:tcPr>
          <w:p w14:paraId="1A67329F"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w:t>
            </w:r>
          </w:p>
        </w:tc>
      </w:tr>
      <w:tr w:rsidR="00A920E6" w:rsidRPr="00A920E6" w14:paraId="2AB1E313"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1D18BA0A" w14:textId="77777777" w:rsidR="00A920E6" w:rsidRPr="00A920E6" w:rsidRDefault="00A920E6" w:rsidP="00A920E6">
            <w:pPr>
              <w:rPr>
                <w:rFonts w:ascii="Arial" w:hAnsi="Arial" w:cs="Arial"/>
                <w:sz w:val="18"/>
                <w:szCs w:val="18"/>
              </w:rPr>
            </w:pPr>
            <w:r w:rsidRPr="00A920E6">
              <w:rPr>
                <w:rFonts w:ascii="Arial" w:hAnsi="Arial" w:cs="Arial"/>
                <w:sz w:val="18"/>
                <w:szCs w:val="18"/>
              </w:rPr>
              <w:t>36825</w:t>
            </w:r>
          </w:p>
        </w:tc>
        <w:tc>
          <w:tcPr>
            <w:tcW w:w="5157" w:type="dxa"/>
            <w:tcBorders>
              <w:top w:val="nil"/>
              <w:left w:val="nil"/>
              <w:bottom w:val="single" w:sz="4" w:space="0" w:color="C0C0C0"/>
              <w:right w:val="single" w:sz="4" w:space="0" w:color="000080"/>
            </w:tcBorders>
            <w:shd w:val="clear" w:color="auto" w:fill="auto"/>
            <w:vAlign w:val="center"/>
            <w:hideMark/>
          </w:tcPr>
          <w:p w14:paraId="58A5DF55" w14:textId="77777777" w:rsidR="00A920E6" w:rsidRPr="00A920E6" w:rsidRDefault="00A920E6" w:rsidP="00A920E6">
            <w:pPr>
              <w:rPr>
                <w:rFonts w:ascii="Arial" w:hAnsi="Arial" w:cs="Arial"/>
                <w:sz w:val="18"/>
                <w:szCs w:val="18"/>
              </w:rPr>
            </w:pPr>
            <w:r w:rsidRPr="00A920E6">
              <w:rPr>
                <w:rFonts w:ascii="Arial" w:hAnsi="Arial" w:cs="Arial"/>
                <w:sz w:val="18"/>
                <w:szCs w:val="18"/>
              </w:rPr>
              <w:t>Kapitalne pomoći županijskim proračunima temeljem prijenosa EU sredstava</w:t>
            </w:r>
          </w:p>
        </w:tc>
        <w:tc>
          <w:tcPr>
            <w:tcW w:w="2919" w:type="dxa"/>
            <w:tcBorders>
              <w:top w:val="nil"/>
              <w:left w:val="nil"/>
              <w:bottom w:val="single" w:sz="4" w:space="0" w:color="C0C0C0"/>
              <w:right w:val="single" w:sz="4" w:space="0" w:color="000080"/>
            </w:tcBorders>
            <w:shd w:val="clear" w:color="auto" w:fill="auto"/>
            <w:vAlign w:val="center"/>
            <w:hideMark/>
          </w:tcPr>
          <w:p w14:paraId="6E75A794" w14:textId="77777777" w:rsidR="00A920E6" w:rsidRPr="00A920E6" w:rsidRDefault="00A920E6" w:rsidP="00A920E6">
            <w:pPr>
              <w:rPr>
                <w:rFonts w:ascii="Arial" w:hAnsi="Arial" w:cs="Arial"/>
                <w:b/>
                <w:bCs/>
                <w:sz w:val="18"/>
                <w:szCs w:val="18"/>
              </w:rPr>
            </w:pPr>
            <w:r w:rsidRPr="00A920E6">
              <w:rPr>
                <w:rFonts w:ascii="Arial" w:hAnsi="Arial" w:cs="Arial"/>
                <w:b/>
                <w:bCs/>
                <w:sz w:val="18"/>
                <w:szCs w:val="18"/>
              </w:rPr>
              <w:t>36825</w:t>
            </w:r>
          </w:p>
        </w:tc>
        <w:tc>
          <w:tcPr>
            <w:tcW w:w="1462" w:type="dxa"/>
            <w:tcBorders>
              <w:top w:val="nil"/>
              <w:left w:val="nil"/>
              <w:bottom w:val="single" w:sz="4" w:space="0" w:color="C0C0C0"/>
              <w:right w:val="single" w:sz="4" w:space="0" w:color="000080"/>
            </w:tcBorders>
            <w:shd w:val="clear" w:color="auto" w:fill="auto"/>
            <w:noWrap/>
            <w:vAlign w:val="center"/>
            <w:hideMark/>
          </w:tcPr>
          <w:p w14:paraId="32AAC197"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911.565,06</w:t>
            </w:r>
          </w:p>
        </w:tc>
        <w:tc>
          <w:tcPr>
            <w:tcW w:w="1462" w:type="dxa"/>
            <w:tcBorders>
              <w:top w:val="nil"/>
              <w:left w:val="nil"/>
              <w:bottom w:val="single" w:sz="4" w:space="0" w:color="C0C0C0"/>
              <w:right w:val="single" w:sz="4" w:space="0" w:color="000080"/>
            </w:tcBorders>
            <w:shd w:val="clear" w:color="auto" w:fill="auto"/>
            <w:noWrap/>
            <w:vAlign w:val="center"/>
            <w:hideMark/>
          </w:tcPr>
          <w:p w14:paraId="5BD19C30"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 </w:t>
            </w:r>
          </w:p>
        </w:tc>
        <w:tc>
          <w:tcPr>
            <w:tcW w:w="1574" w:type="dxa"/>
            <w:tcBorders>
              <w:top w:val="nil"/>
              <w:left w:val="nil"/>
              <w:bottom w:val="single" w:sz="4" w:space="0" w:color="C0C0C0"/>
              <w:right w:val="single" w:sz="4" w:space="0" w:color="000000"/>
            </w:tcBorders>
            <w:shd w:val="clear" w:color="auto" w:fill="auto"/>
            <w:noWrap/>
            <w:vAlign w:val="center"/>
            <w:hideMark/>
          </w:tcPr>
          <w:p w14:paraId="1361D194"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0,0</w:t>
            </w:r>
          </w:p>
        </w:tc>
      </w:tr>
      <w:tr w:rsidR="00A920E6" w:rsidRPr="00A920E6" w14:paraId="4FCF6343"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05610E3F" w14:textId="77777777" w:rsidR="00A920E6" w:rsidRPr="00A920E6" w:rsidRDefault="00A920E6" w:rsidP="00A920E6">
            <w:pPr>
              <w:rPr>
                <w:rFonts w:ascii="Arial" w:hAnsi="Arial" w:cs="Arial"/>
                <w:sz w:val="18"/>
                <w:szCs w:val="18"/>
              </w:rPr>
            </w:pPr>
            <w:r w:rsidRPr="00A920E6">
              <w:rPr>
                <w:rFonts w:ascii="Arial" w:hAnsi="Arial" w:cs="Arial"/>
                <w:sz w:val="18"/>
                <w:szCs w:val="18"/>
              </w:rPr>
              <w:t>36826</w:t>
            </w:r>
          </w:p>
        </w:tc>
        <w:tc>
          <w:tcPr>
            <w:tcW w:w="5157" w:type="dxa"/>
            <w:tcBorders>
              <w:top w:val="nil"/>
              <w:left w:val="nil"/>
              <w:bottom w:val="single" w:sz="4" w:space="0" w:color="C0C0C0"/>
              <w:right w:val="single" w:sz="4" w:space="0" w:color="000080"/>
            </w:tcBorders>
            <w:shd w:val="clear" w:color="auto" w:fill="auto"/>
            <w:vAlign w:val="center"/>
            <w:hideMark/>
          </w:tcPr>
          <w:p w14:paraId="776C3F28" w14:textId="77777777" w:rsidR="00A920E6" w:rsidRPr="00A920E6" w:rsidRDefault="00A920E6" w:rsidP="00A920E6">
            <w:pPr>
              <w:rPr>
                <w:rFonts w:ascii="Arial" w:hAnsi="Arial" w:cs="Arial"/>
                <w:sz w:val="18"/>
                <w:szCs w:val="18"/>
              </w:rPr>
            </w:pPr>
            <w:r w:rsidRPr="00A920E6">
              <w:rPr>
                <w:rFonts w:ascii="Arial" w:hAnsi="Arial" w:cs="Arial"/>
                <w:sz w:val="18"/>
                <w:szCs w:val="18"/>
              </w:rPr>
              <w:t>Kapitalne pomoći gradskim proračunima temeljem prijenosa EU sredstava</w:t>
            </w:r>
          </w:p>
        </w:tc>
        <w:tc>
          <w:tcPr>
            <w:tcW w:w="2919" w:type="dxa"/>
            <w:tcBorders>
              <w:top w:val="nil"/>
              <w:left w:val="nil"/>
              <w:bottom w:val="single" w:sz="4" w:space="0" w:color="C0C0C0"/>
              <w:right w:val="single" w:sz="4" w:space="0" w:color="000080"/>
            </w:tcBorders>
            <w:shd w:val="clear" w:color="auto" w:fill="auto"/>
            <w:vAlign w:val="center"/>
            <w:hideMark/>
          </w:tcPr>
          <w:p w14:paraId="0EBFCB2F" w14:textId="77777777" w:rsidR="00A920E6" w:rsidRPr="00A920E6" w:rsidRDefault="00A920E6" w:rsidP="00A920E6">
            <w:pPr>
              <w:rPr>
                <w:rFonts w:ascii="Arial" w:hAnsi="Arial" w:cs="Arial"/>
                <w:b/>
                <w:bCs/>
                <w:sz w:val="18"/>
                <w:szCs w:val="18"/>
              </w:rPr>
            </w:pPr>
            <w:r w:rsidRPr="00A920E6">
              <w:rPr>
                <w:rFonts w:ascii="Arial" w:hAnsi="Arial" w:cs="Arial"/>
                <w:b/>
                <w:bCs/>
                <w:sz w:val="18"/>
                <w:szCs w:val="18"/>
              </w:rPr>
              <w:t>36826</w:t>
            </w:r>
          </w:p>
        </w:tc>
        <w:tc>
          <w:tcPr>
            <w:tcW w:w="1462" w:type="dxa"/>
            <w:tcBorders>
              <w:top w:val="nil"/>
              <w:left w:val="nil"/>
              <w:bottom w:val="single" w:sz="4" w:space="0" w:color="C0C0C0"/>
              <w:right w:val="single" w:sz="4" w:space="0" w:color="000080"/>
            </w:tcBorders>
            <w:shd w:val="clear" w:color="auto" w:fill="auto"/>
            <w:noWrap/>
            <w:vAlign w:val="center"/>
            <w:hideMark/>
          </w:tcPr>
          <w:p w14:paraId="6EE2820B"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12.682.400,99</w:t>
            </w:r>
          </w:p>
        </w:tc>
        <w:tc>
          <w:tcPr>
            <w:tcW w:w="1462" w:type="dxa"/>
            <w:tcBorders>
              <w:top w:val="nil"/>
              <w:left w:val="nil"/>
              <w:bottom w:val="single" w:sz="4" w:space="0" w:color="C0C0C0"/>
              <w:right w:val="single" w:sz="4" w:space="0" w:color="000080"/>
            </w:tcBorders>
            <w:shd w:val="clear" w:color="auto" w:fill="auto"/>
            <w:noWrap/>
            <w:vAlign w:val="center"/>
            <w:hideMark/>
          </w:tcPr>
          <w:p w14:paraId="02A3D424"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4.875.991,94</w:t>
            </w:r>
          </w:p>
        </w:tc>
        <w:tc>
          <w:tcPr>
            <w:tcW w:w="1574" w:type="dxa"/>
            <w:tcBorders>
              <w:top w:val="nil"/>
              <w:left w:val="nil"/>
              <w:bottom w:val="single" w:sz="4" w:space="0" w:color="C0C0C0"/>
              <w:right w:val="single" w:sz="4" w:space="0" w:color="000000"/>
            </w:tcBorders>
            <w:shd w:val="clear" w:color="auto" w:fill="auto"/>
            <w:noWrap/>
            <w:vAlign w:val="center"/>
            <w:hideMark/>
          </w:tcPr>
          <w:p w14:paraId="620E0B2B"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38,4</w:t>
            </w:r>
          </w:p>
        </w:tc>
      </w:tr>
      <w:tr w:rsidR="00A920E6" w:rsidRPr="00A920E6" w14:paraId="2CAB5875"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621FEEBC" w14:textId="77777777" w:rsidR="00A920E6" w:rsidRPr="00A920E6" w:rsidRDefault="00A920E6" w:rsidP="00A920E6">
            <w:pPr>
              <w:rPr>
                <w:rFonts w:ascii="Arial" w:hAnsi="Arial" w:cs="Arial"/>
                <w:sz w:val="18"/>
                <w:szCs w:val="18"/>
              </w:rPr>
            </w:pPr>
            <w:r w:rsidRPr="00A920E6">
              <w:rPr>
                <w:rFonts w:ascii="Arial" w:hAnsi="Arial" w:cs="Arial"/>
                <w:sz w:val="18"/>
                <w:szCs w:val="18"/>
              </w:rPr>
              <w:t>36827</w:t>
            </w:r>
          </w:p>
        </w:tc>
        <w:tc>
          <w:tcPr>
            <w:tcW w:w="5157" w:type="dxa"/>
            <w:tcBorders>
              <w:top w:val="nil"/>
              <w:left w:val="nil"/>
              <w:bottom w:val="single" w:sz="4" w:space="0" w:color="C0C0C0"/>
              <w:right w:val="single" w:sz="4" w:space="0" w:color="000080"/>
            </w:tcBorders>
            <w:shd w:val="clear" w:color="auto" w:fill="auto"/>
            <w:vAlign w:val="center"/>
            <w:hideMark/>
          </w:tcPr>
          <w:p w14:paraId="7E1683A0" w14:textId="77777777" w:rsidR="00A920E6" w:rsidRPr="00A920E6" w:rsidRDefault="00A920E6" w:rsidP="00A920E6">
            <w:pPr>
              <w:rPr>
                <w:rFonts w:ascii="Arial" w:hAnsi="Arial" w:cs="Arial"/>
                <w:sz w:val="18"/>
                <w:szCs w:val="18"/>
              </w:rPr>
            </w:pPr>
            <w:r w:rsidRPr="00A920E6">
              <w:rPr>
                <w:rFonts w:ascii="Arial" w:hAnsi="Arial" w:cs="Arial"/>
                <w:sz w:val="18"/>
                <w:szCs w:val="18"/>
              </w:rPr>
              <w:t>Kapitalne pomoći općinskim proračunima temeljem prijenosa EU sredstava</w:t>
            </w:r>
          </w:p>
        </w:tc>
        <w:tc>
          <w:tcPr>
            <w:tcW w:w="2919" w:type="dxa"/>
            <w:tcBorders>
              <w:top w:val="nil"/>
              <w:left w:val="nil"/>
              <w:bottom w:val="single" w:sz="4" w:space="0" w:color="C0C0C0"/>
              <w:right w:val="single" w:sz="4" w:space="0" w:color="000080"/>
            </w:tcBorders>
            <w:shd w:val="clear" w:color="auto" w:fill="auto"/>
            <w:vAlign w:val="center"/>
            <w:hideMark/>
          </w:tcPr>
          <w:p w14:paraId="40C48F74" w14:textId="77777777" w:rsidR="00A920E6" w:rsidRPr="00A920E6" w:rsidRDefault="00A920E6" w:rsidP="00A920E6">
            <w:pPr>
              <w:rPr>
                <w:rFonts w:ascii="Arial" w:hAnsi="Arial" w:cs="Arial"/>
                <w:b/>
                <w:bCs/>
                <w:sz w:val="18"/>
                <w:szCs w:val="18"/>
              </w:rPr>
            </w:pPr>
            <w:r w:rsidRPr="00A920E6">
              <w:rPr>
                <w:rFonts w:ascii="Arial" w:hAnsi="Arial" w:cs="Arial"/>
                <w:b/>
                <w:bCs/>
                <w:sz w:val="18"/>
                <w:szCs w:val="18"/>
              </w:rPr>
              <w:t>36827</w:t>
            </w:r>
          </w:p>
        </w:tc>
        <w:tc>
          <w:tcPr>
            <w:tcW w:w="1462" w:type="dxa"/>
            <w:tcBorders>
              <w:top w:val="nil"/>
              <w:left w:val="nil"/>
              <w:bottom w:val="single" w:sz="4" w:space="0" w:color="C0C0C0"/>
              <w:right w:val="single" w:sz="4" w:space="0" w:color="000080"/>
            </w:tcBorders>
            <w:shd w:val="clear" w:color="auto" w:fill="auto"/>
            <w:noWrap/>
            <w:vAlign w:val="center"/>
            <w:hideMark/>
          </w:tcPr>
          <w:p w14:paraId="4FC03892"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710.955,02</w:t>
            </w:r>
          </w:p>
        </w:tc>
        <w:tc>
          <w:tcPr>
            <w:tcW w:w="1462" w:type="dxa"/>
            <w:tcBorders>
              <w:top w:val="nil"/>
              <w:left w:val="nil"/>
              <w:bottom w:val="single" w:sz="4" w:space="0" w:color="C0C0C0"/>
              <w:right w:val="single" w:sz="4" w:space="0" w:color="000080"/>
            </w:tcBorders>
            <w:shd w:val="clear" w:color="auto" w:fill="auto"/>
            <w:noWrap/>
            <w:vAlign w:val="center"/>
            <w:hideMark/>
          </w:tcPr>
          <w:p w14:paraId="1C47144E"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42.304,76</w:t>
            </w:r>
          </w:p>
        </w:tc>
        <w:tc>
          <w:tcPr>
            <w:tcW w:w="1574" w:type="dxa"/>
            <w:tcBorders>
              <w:top w:val="nil"/>
              <w:left w:val="nil"/>
              <w:bottom w:val="single" w:sz="4" w:space="0" w:color="C0C0C0"/>
              <w:right w:val="single" w:sz="4" w:space="0" w:color="000000"/>
            </w:tcBorders>
            <w:shd w:val="clear" w:color="auto" w:fill="auto"/>
            <w:noWrap/>
            <w:vAlign w:val="center"/>
            <w:hideMark/>
          </w:tcPr>
          <w:p w14:paraId="6DE2B0F3"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6,0</w:t>
            </w:r>
          </w:p>
        </w:tc>
      </w:tr>
      <w:tr w:rsidR="00A920E6" w:rsidRPr="00A920E6" w14:paraId="6AC63171"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446D55D9" w14:textId="77777777" w:rsidR="00A920E6" w:rsidRPr="00A920E6" w:rsidRDefault="00A920E6" w:rsidP="00A920E6">
            <w:pPr>
              <w:rPr>
                <w:rFonts w:ascii="Arial" w:hAnsi="Arial" w:cs="Arial"/>
                <w:sz w:val="18"/>
                <w:szCs w:val="18"/>
              </w:rPr>
            </w:pPr>
            <w:r w:rsidRPr="00A920E6">
              <w:rPr>
                <w:rFonts w:ascii="Arial" w:hAnsi="Arial" w:cs="Arial"/>
                <w:sz w:val="18"/>
                <w:szCs w:val="18"/>
              </w:rPr>
              <w:t>36828</w:t>
            </w:r>
          </w:p>
        </w:tc>
        <w:tc>
          <w:tcPr>
            <w:tcW w:w="5157" w:type="dxa"/>
            <w:tcBorders>
              <w:top w:val="nil"/>
              <w:left w:val="nil"/>
              <w:bottom w:val="single" w:sz="4" w:space="0" w:color="C0C0C0"/>
              <w:right w:val="single" w:sz="4" w:space="0" w:color="000080"/>
            </w:tcBorders>
            <w:shd w:val="clear" w:color="auto" w:fill="auto"/>
            <w:vAlign w:val="center"/>
            <w:hideMark/>
          </w:tcPr>
          <w:p w14:paraId="31833B67" w14:textId="77777777" w:rsidR="00A920E6" w:rsidRPr="00A920E6" w:rsidRDefault="00A920E6" w:rsidP="00A920E6">
            <w:pPr>
              <w:rPr>
                <w:rFonts w:ascii="Arial" w:hAnsi="Arial" w:cs="Arial"/>
                <w:sz w:val="18"/>
                <w:szCs w:val="18"/>
              </w:rPr>
            </w:pPr>
            <w:r w:rsidRPr="00A920E6">
              <w:rPr>
                <w:rFonts w:ascii="Arial" w:hAnsi="Arial" w:cs="Arial"/>
                <w:sz w:val="18"/>
                <w:szCs w:val="18"/>
              </w:rPr>
              <w:t>Kapitalne pomoći izvanproračunskim korisnicima državnog proračuna temeljem prijenosa EU sredstava</w:t>
            </w:r>
          </w:p>
        </w:tc>
        <w:tc>
          <w:tcPr>
            <w:tcW w:w="2919" w:type="dxa"/>
            <w:tcBorders>
              <w:top w:val="nil"/>
              <w:left w:val="nil"/>
              <w:bottom w:val="single" w:sz="4" w:space="0" w:color="C0C0C0"/>
              <w:right w:val="single" w:sz="4" w:space="0" w:color="000080"/>
            </w:tcBorders>
            <w:shd w:val="clear" w:color="auto" w:fill="auto"/>
            <w:vAlign w:val="center"/>
            <w:hideMark/>
          </w:tcPr>
          <w:p w14:paraId="128AA288" w14:textId="77777777" w:rsidR="00A920E6" w:rsidRPr="00A920E6" w:rsidRDefault="00A920E6" w:rsidP="00A920E6">
            <w:pPr>
              <w:rPr>
                <w:rFonts w:ascii="Arial" w:hAnsi="Arial" w:cs="Arial"/>
                <w:b/>
                <w:bCs/>
                <w:sz w:val="18"/>
                <w:szCs w:val="18"/>
              </w:rPr>
            </w:pPr>
            <w:r w:rsidRPr="00A920E6">
              <w:rPr>
                <w:rFonts w:ascii="Arial" w:hAnsi="Arial" w:cs="Arial"/>
                <w:b/>
                <w:bCs/>
                <w:sz w:val="18"/>
                <w:szCs w:val="18"/>
              </w:rPr>
              <w:t>36828</w:t>
            </w:r>
          </w:p>
        </w:tc>
        <w:tc>
          <w:tcPr>
            <w:tcW w:w="1462" w:type="dxa"/>
            <w:tcBorders>
              <w:top w:val="nil"/>
              <w:left w:val="nil"/>
              <w:bottom w:val="single" w:sz="4" w:space="0" w:color="C0C0C0"/>
              <w:right w:val="single" w:sz="4" w:space="0" w:color="000080"/>
            </w:tcBorders>
            <w:shd w:val="clear" w:color="auto" w:fill="auto"/>
            <w:noWrap/>
            <w:vAlign w:val="center"/>
            <w:hideMark/>
          </w:tcPr>
          <w:p w14:paraId="6B89F327"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66.034.842,43</w:t>
            </w:r>
          </w:p>
        </w:tc>
        <w:tc>
          <w:tcPr>
            <w:tcW w:w="1462" w:type="dxa"/>
            <w:tcBorders>
              <w:top w:val="nil"/>
              <w:left w:val="nil"/>
              <w:bottom w:val="single" w:sz="4" w:space="0" w:color="C0C0C0"/>
              <w:right w:val="single" w:sz="4" w:space="0" w:color="000080"/>
            </w:tcBorders>
            <w:shd w:val="clear" w:color="auto" w:fill="auto"/>
            <w:noWrap/>
            <w:vAlign w:val="center"/>
            <w:hideMark/>
          </w:tcPr>
          <w:p w14:paraId="2641FE67"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43.364.976,03</w:t>
            </w:r>
          </w:p>
        </w:tc>
        <w:tc>
          <w:tcPr>
            <w:tcW w:w="1574" w:type="dxa"/>
            <w:tcBorders>
              <w:top w:val="nil"/>
              <w:left w:val="nil"/>
              <w:bottom w:val="single" w:sz="4" w:space="0" w:color="C0C0C0"/>
              <w:right w:val="single" w:sz="4" w:space="0" w:color="000000"/>
            </w:tcBorders>
            <w:shd w:val="clear" w:color="auto" w:fill="auto"/>
            <w:noWrap/>
            <w:vAlign w:val="center"/>
            <w:hideMark/>
          </w:tcPr>
          <w:p w14:paraId="4CC98A29"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65,7</w:t>
            </w:r>
          </w:p>
        </w:tc>
      </w:tr>
      <w:tr w:rsidR="00A920E6" w:rsidRPr="00A920E6" w14:paraId="6558C596"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5063A121" w14:textId="77777777" w:rsidR="00A920E6" w:rsidRPr="00A920E6" w:rsidRDefault="00A920E6" w:rsidP="00A920E6">
            <w:pPr>
              <w:rPr>
                <w:rFonts w:ascii="Arial" w:hAnsi="Arial" w:cs="Arial"/>
                <w:sz w:val="18"/>
                <w:szCs w:val="18"/>
              </w:rPr>
            </w:pPr>
            <w:r w:rsidRPr="00A920E6">
              <w:rPr>
                <w:rFonts w:ascii="Arial" w:hAnsi="Arial" w:cs="Arial"/>
                <w:sz w:val="18"/>
                <w:szCs w:val="18"/>
              </w:rPr>
              <w:t>36829</w:t>
            </w:r>
          </w:p>
        </w:tc>
        <w:tc>
          <w:tcPr>
            <w:tcW w:w="5157" w:type="dxa"/>
            <w:tcBorders>
              <w:top w:val="nil"/>
              <w:left w:val="nil"/>
              <w:bottom w:val="single" w:sz="4" w:space="0" w:color="C0C0C0"/>
              <w:right w:val="single" w:sz="4" w:space="0" w:color="000080"/>
            </w:tcBorders>
            <w:shd w:val="clear" w:color="auto" w:fill="auto"/>
            <w:vAlign w:val="center"/>
            <w:hideMark/>
          </w:tcPr>
          <w:p w14:paraId="19294A2E" w14:textId="77777777" w:rsidR="00A920E6" w:rsidRPr="00A920E6" w:rsidRDefault="00A920E6" w:rsidP="00A920E6">
            <w:pPr>
              <w:rPr>
                <w:rFonts w:ascii="Arial" w:hAnsi="Arial" w:cs="Arial"/>
                <w:sz w:val="18"/>
                <w:szCs w:val="18"/>
              </w:rPr>
            </w:pPr>
            <w:r w:rsidRPr="00A920E6">
              <w:rPr>
                <w:rFonts w:ascii="Arial" w:hAnsi="Arial" w:cs="Arial"/>
                <w:sz w:val="18"/>
                <w:szCs w:val="18"/>
              </w:rPr>
              <w:t>Kapitalne pomoći izvanproračunskim korisnicima JLP(R)S temeljem prijenosa EU sredstava</w:t>
            </w:r>
          </w:p>
        </w:tc>
        <w:tc>
          <w:tcPr>
            <w:tcW w:w="2919" w:type="dxa"/>
            <w:tcBorders>
              <w:top w:val="nil"/>
              <w:left w:val="nil"/>
              <w:bottom w:val="single" w:sz="4" w:space="0" w:color="C0C0C0"/>
              <w:right w:val="single" w:sz="4" w:space="0" w:color="000080"/>
            </w:tcBorders>
            <w:shd w:val="clear" w:color="auto" w:fill="auto"/>
            <w:vAlign w:val="center"/>
            <w:hideMark/>
          </w:tcPr>
          <w:p w14:paraId="600F7C5C" w14:textId="77777777" w:rsidR="00A920E6" w:rsidRPr="00A920E6" w:rsidRDefault="00A920E6" w:rsidP="00A920E6">
            <w:pPr>
              <w:rPr>
                <w:rFonts w:ascii="Arial" w:hAnsi="Arial" w:cs="Arial"/>
                <w:b/>
                <w:bCs/>
                <w:sz w:val="18"/>
                <w:szCs w:val="18"/>
              </w:rPr>
            </w:pPr>
            <w:r w:rsidRPr="00A920E6">
              <w:rPr>
                <w:rFonts w:ascii="Arial" w:hAnsi="Arial" w:cs="Arial"/>
                <w:b/>
                <w:bCs/>
                <w:sz w:val="18"/>
                <w:szCs w:val="18"/>
              </w:rPr>
              <w:t>36829</w:t>
            </w:r>
          </w:p>
        </w:tc>
        <w:tc>
          <w:tcPr>
            <w:tcW w:w="1462" w:type="dxa"/>
            <w:tcBorders>
              <w:top w:val="nil"/>
              <w:left w:val="nil"/>
              <w:bottom w:val="single" w:sz="4" w:space="0" w:color="C0C0C0"/>
              <w:right w:val="single" w:sz="4" w:space="0" w:color="000080"/>
            </w:tcBorders>
            <w:shd w:val="clear" w:color="auto" w:fill="auto"/>
            <w:noWrap/>
            <w:vAlign w:val="center"/>
            <w:hideMark/>
          </w:tcPr>
          <w:p w14:paraId="4D22B15C"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998.134,51</w:t>
            </w:r>
          </w:p>
        </w:tc>
        <w:tc>
          <w:tcPr>
            <w:tcW w:w="1462" w:type="dxa"/>
            <w:tcBorders>
              <w:top w:val="nil"/>
              <w:left w:val="nil"/>
              <w:bottom w:val="single" w:sz="4" w:space="0" w:color="C0C0C0"/>
              <w:right w:val="single" w:sz="4" w:space="0" w:color="000080"/>
            </w:tcBorders>
            <w:shd w:val="clear" w:color="auto" w:fill="auto"/>
            <w:noWrap/>
            <w:vAlign w:val="center"/>
            <w:hideMark/>
          </w:tcPr>
          <w:p w14:paraId="46FAEB64"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 </w:t>
            </w:r>
          </w:p>
        </w:tc>
        <w:tc>
          <w:tcPr>
            <w:tcW w:w="1574" w:type="dxa"/>
            <w:tcBorders>
              <w:top w:val="nil"/>
              <w:left w:val="nil"/>
              <w:bottom w:val="single" w:sz="4" w:space="0" w:color="C0C0C0"/>
              <w:right w:val="single" w:sz="4" w:space="0" w:color="000000"/>
            </w:tcBorders>
            <w:shd w:val="clear" w:color="auto" w:fill="auto"/>
            <w:noWrap/>
            <w:vAlign w:val="center"/>
            <w:hideMark/>
          </w:tcPr>
          <w:p w14:paraId="2325346C"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0,0</w:t>
            </w:r>
          </w:p>
        </w:tc>
      </w:tr>
      <w:tr w:rsidR="00A920E6" w:rsidRPr="00A920E6" w14:paraId="38D1D075"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61A47A92"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37215</w:t>
            </w:r>
          </w:p>
        </w:tc>
        <w:tc>
          <w:tcPr>
            <w:tcW w:w="5157" w:type="dxa"/>
            <w:tcBorders>
              <w:top w:val="nil"/>
              <w:left w:val="nil"/>
              <w:bottom w:val="single" w:sz="4" w:space="0" w:color="C0C0C0"/>
              <w:right w:val="single" w:sz="4" w:space="0" w:color="000080"/>
            </w:tcBorders>
            <w:shd w:val="clear" w:color="auto" w:fill="auto"/>
            <w:vAlign w:val="center"/>
            <w:hideMark/>
          </w:tcPr>
          <w:p w14:paraId="7DFF2F31"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Stipendije i školarine</w:t>
            </w:r>
          </w:p>
        </w:tc>
        <w:tc>
          <w:tcPr>
            <w:tcW w:w="2919" w:type="dxa"/>
            <w:tcBorders>
              <w:top w:val="nil"/>
              <w:left w:val="nil"/>
              <w:bottom w:val="single" w:sz="4" w:space="0" w:color="C0C0C0"/>
              <w:right w:val="single" w:sz="4" w:space="0" w:color="000080"/>
            </w:tcBorders>
            <w:shd w:val="clear" w:color="auto" w:fill="auto"/>
            <w:vAlign w:val="center"/>
            <w:hideMark/>
          </w:tcPr>
          <w:p w14:paraId="41C26A2E"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37215</w:t>
            </w:r>
          </w:p>
        </w:tc>
        <w:tc>
          <w:tcPr>
            <w:tcW w:w="1462" w:type="dxa"/>
            <w:tcBorders>
              <w:top w:val="nil"/>
              <w:left w:val="nil"/>
              <w:bottom w:val="single" w:sz="4" w:space="0" w:color="C0C0C0"/>
              <w:right w:val="single" w:sz="4" w:space="0" w:color="000080"/>
            </w:tcBorders>
            <w:shd w:val="clear" w:color="auto" w:fill="auto"/>
            <w:noWrap/>
            <w:vAlign w:val="center"/>
            <w:hideMark/>
          </w:tcPr>
          <w:p w14:paraId="5A703875"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273.224,31</w:t>
            </w:r>
          </w:p>
        </w:tc>
        <w:tc>
          <w:tcPr>
            <w:tcW w:w="1462" w:type="dxa"/>
            <w:tcBorders>
              <w:top w:val="nil"/>
              <w:left w:val="nil"/>
              <w:bottom w:val="single" w:sz="4" w:space="0" w:color="C0C0C0"/>
              <w:right w:val="single" w:sz="4" w:space="0" w:color="000080"/>
            </w:tcBorders>
            <w:shd w:val="clear" w:color="auto" w:fill="auto"/>
            <w:noWrap/>
            <w:vAlign w:val="center"/>
            <w:hideMark/>
          </w:tcPr>
          <w:p w14:paraId="1E32C0DD"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291.022,79</w:t>
            </w:r>
          </w:p>
        </w:tc>
        <w:tc>
          <w:tcPr>
            <w:tcW w:w="1574" w:type="dxa"/>
            <w:tcBorders>
              <w:top w:val="nil"/>
              <w:left w:val="nil"/>
              <w:bottom w:val="single" w:sz="4" w:space="0" w:color="C0C0C0"/>
              <w:right w:val="single" w:sz="4" w:space="0" w:color="000000"/>
            </w:tcBorders>
            <w:shd w:val="clear" w:color="auto" w:fill="auto"/>
            <w:noWrap/>
            <w:vAlign w:val="center"/>
            <w:hideMark/>
          </w:tcPr>
          <w:p w14:paraId="1C1DA864"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106,5</w:t>
            </w:r>
          </w:p>
        </w:tc>
      </w:tr>
      <w:tr w:rsidR="00A920E6" w:rsidRPr="00A920E6" w14:paraId="75D336BB"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5EAB0643"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37219</w:t>
            </w:r>
          </w:p>
        </w:tc>
        <w:tc>
          <w:tcPr>
            <w:tcW w:w="5157" w:type="dxa"/>
            <w:tcBorders>
              <w:top w:val="nil"/>
              <w:left w:val="nil"/>
              <w:bottom w:val="single" w:sz="4" w:space="0" w:color="C0C0C0"/>
              <w:right w:val="single" w:sz="4" w:space="0" w:color="000080"/>
            </w:tcBorders>
            <w:shd w:val="clear" w:color="auto" w:fill="auto"/>
            <w:vAlign w:val="center"/>
            <w:hideMark/>
          </w:tcPr>
          <w:p w14:paraId="621C2549"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Ostale naknade iz proračuna u novcu</w:t>
            </w:r>
          </w:p>
        </w:tc>
        <w:tc>
          <w:tcPr>
            <w:tcW w:w="2919" w:type="dxa"/>
            <w:tcBorders>
              <w:top w:val="nil"/>
              <w:left w:val="nil"/>
              <w:bottom w:val="single" w:sz="4" w:space="0" w:color="C0C0C0"/>
              <w:right w:val="single" w:sz="4" w:space="0" w:color="000080"/>
            </w:tcBorders>
            <w:shd w:val="clear" w:color="auto" w:fill="auto"/>
            <w:vAlign w:val="center"/>
            <w:hideMark/>
          </w:tcPr>
          <w:p w14:paraId="6CCF3F67"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37219</w:t>
            </w:r>
          </w:p>
        </w:tc>
        <w:tc>
          <w:tcPr>
            <w:tcW w:w="1462" w:type="dxa"/>
            <w:tcBorders>
              <w:top w:val="nil"/>
              <w:left w:val="nil"/>
              <w:bottom w:val="single" w:sz="4" w:space="0" w:color="C0C0C0"/>
              <w:right w:val="single" w:sz="4" w:space="0" w:color="000080"/>
            </w:tcBorders>
            <w:shd w:val="clear" w:color="auto" w:fill="auto"/>
            <w:noWrap/>
            <w:vAlign w:val="center"/>
            <w:hideMark/>
          </w:tcPr>
          <w:p w14:paraId="65C0431C"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43,99</w:t>
            </w:r>
          </w:p>
        </w:tc>
        <w:tc>
          <w:tcPr>
            <w:tcW w:w="1462" w:type="dxa"/>
            <w:tcBorders>
              <w:top w:val="nil"/>
              <w:left w:val="nil"/>
              <w:bottom w:val="single" w:sz="4" w:space="0" w:color="C0C0C0"/>
              <w:right w:val="single" w:sz="4" w:space="0" w:color="000080"/>
            </w:tcBorders>
            <w:shd w:val="clear" w:color="auto" w:fill="auto"/>
            <w:noWrap/>
            <w:vAlign w:val="center"/>
            <w:hideMark/>
          </w:tcPr>
          <w:p w14:paraId="1BDB6A35"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 </w:t>
            </w:r>
          </w:p>
        </w:tc>
        <w:tc>
          <w:tcPr>
            <w:tcW w:w="1574" w:type="dxa"/>
            <w:tcBorders>
              <w:top w:val="nil"/>
              <w:left w:val="nil"/>
              <w:bottom w:val="single" w:sz="4" w:space="0" w:color="C0C0C0"/>
              <w:right w:val="single" w:sz="4" w:space="0" w:color="000000"/>
            </w:tcBorders>
            <w:shd w:val="clear" w:color="auto" w:fill="auto"/>
            <w:noWrap/>
            <w:vAlign w:val="center"/>
            <w:hideMark/>
          </w:tcPr>
          <w:p w14:paraId="4B862F59"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0,0</w:t>
            </w:r>
          </w:p>
        </w:tc>
      </w:tr>
      <w:tr w:rsidR="00A920E6" w:rsidRPr="00A920E6" w14:paraId="1A1B8CAC"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42E79620"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37221</w:t>
            </w:r>
          </w:p>
        </w:tc>
        <w:tc>
          <w:tcPr>
            <w:tcW w:w="5157" w:type="dxa"/>
            <w:tcBorders>
              <w:top w:val="nil"/>
              <w:left w:val="nil"/>
              <w:bottom w:val="single" w:sz="4" w:space="0" w:color="C0C0C0"/>
              <w:right w:val="single" w:sz="4" w:space="0" w:color="000080"/>
            </w:tcBorders>
            <w:shd w:val="clear" w:color="auto" w:fill="auto"/>
            <w:vAlign w:val="center"/>
            <w:hideMark/>
          </w:tcPr>
          <w:p w14:paraId="49771C92"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Sufinanciranje cijene prijevoza</w:t>
            </w:r>
          </w:p>
        </w:tc>
        <w:tc>
          <w:tcPr>
            <w:tcW w:w="2919" w:type="dxa"/>
            <w:tcBorders>
              <w:top w:val="nil"/>
              <w:left w:val="nil"/>
              <w:bottom w:val="single" w:sz="4" w:space="0" w:color="C0C0C0"/>
              <w:right w:val="single" w:sz="4" w:space="0" w:color="000080"/>
            </w:tcBorders>
            <w:shd w:val="clear" w:color="auto" w:fill="auto"/>
            <w:vAlign w:val="center"/>
            <w:hideMark/>
          </w:tcPr>
          <w:p w14:paraId="798FE9CC"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37221</w:t>
            </w:r>
          </w:p>
        </w:tc>
        <w:tc>
          <w:tcPr>
            <w:tcW w:w="1462" w:type="dxa"/>
            <w:tcBorders>
              <w:top w:val="nil"/>
              <w:left w:val="nil"/>
              <w:bottom w:val="single" w:sz="4" w:space="0" w:color="C0C0C0"/>
              <w:right w:val="single" w:sz="4" w:space="0" w:color="000080"/>
            </w:tcBorders>
            <w:shd w:val="clear" w:color="auto" w:fill="auto"/>
            <w:noWrap/>
            <w:vAlign w:val="center"/>
            <w:hideMark/>
          </w:tcPr>
          <w:p w14:paraId="2109325E"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2.848.426,76</w:t>
            </w:r>
          </w:p>
        </w:tc>
        <w:tc>
          <w:tcPr>
            <w:tcW w:w="1462" w:type="dxa"/>
            <w:tcBorders>
              <w:top w:val="nil"/>
              <w:left w:val="nil"/>
              <w:bottom w:val="single" w:sz="4" w:space="0" w:color="C0C0C0"/>
              <w:right w:val="single" w:sz="4" w:space="0" w:color="000080"/>
            </w:tcBorders>
            <w:shd w:val="clear" w:color="auto" w:fill="auto"/>
            <w:noWrap/>
            <w:vAlign w:val="center"/>
            <w:hideMark/>
          </w:tcPr>
          <w:p w14:paraId="78DE1257"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 </w:t>
            </w:r>
          </w:p>
        </w:tc>
        <w:tc>
          <w:tcPr>
            <w:tcW w:w="1574" w:type="dxa"/>
            <w:tcBorders>
              <w:top w:val="nil"/>
              <w:left w:val="nil"/>
              <w:bottom w:val="single" w:sz="4" w:space="0" w:color="C0C0C0"/>
              <w:right w:val="single" w:sz="4" w:space="0" w:color="000000"/>
            </w:tcBorders>
            <w:shd w:val="clear" w:color="auto" w:fill="auto"/>
            <w:noWrap/>
            <w:vAlign w:val="center"/>
            <w:hideMark/>
          </w:tcPr>
          <w:p w14:paraId="7A729DC5"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0,0</w:t>
            </w:r>
          </w:p>
        </w:tc>
      </w:tr>
      <w:tr w:rsidR="00A920E6" w:rsidRPr="00A920E6" w14:paraId="0663FF84"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4550F0CF"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37229</w:t>
            </w:r>
          </w:p>
        </w:tc>
        <w:tc>
          <w:tcPr>
            <w:tcW w:w="5157" w:type="dxa"/>
            <w:tcBorders>
              <w:top w:val="nil"/>
              <w:left w:val="nil"/>
              <w:bottom w:val="single" w:sz="4" w:space="0" w:color="C0C0C0"/>
              <w:right w:val="single" w:sz="4" w:space="0" w:color="000080"/>
            </w:tcBorders>
            <w:shd w:val="clear" w:color="auto" w:fill="auto"/>
            <w:vAlign w:val="center"/>
            <w:hideMark/>
          </w:tcPr>
          <w:p w14:paraId="4D32FE54"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Ostale naknade iz proračuna u naravi</w:t>
            </w:r>
          </w:p>
        </w:tc>
        <w:tc>
          <w:tcPr>
            <w:tcW w:w="2919" w:type="dxa"/>
            <w:tcBorders>
              <w:top w:val="nil"/>
              <w:left w:val="nil"/>
              <w:bottom w:val="single" w:sz="4" w:space="0" w:color="C0C0C0"/>
              <w:right w:val="single" w:sz="4" w:space="0" w:color="000080"/>
            </w:tcBorders>
            <w:shd w:val="clear" w:color="auto" w:fill="auto"/>
            <w:vAlign w:val="center"/>
            <w:hideMark/>
          </w:tcPr>
          <w:p w14:paraId="3853C125"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37229</w:t>
            </w:r>
          </w:p>
        </w:tc>
        <w:tc>
          <w:tcPr>
            <w:tcW w:w="1462" w:type="dxa"/>
            <w:tcBorders>
              <w:top w:val="nil"/>
              <w:left w:val="nil"/>
              <w:bottom w:val="single" w:sz="4" w:space="0" w:color="C0C0C0"/>
              <w:right w:val="single" w:sz="4" w:space="0" w:color="000080"/>
            </w:tcBorders>
            <w:shd w:val="clear" w:color="auto" w:fill="auto"/>
            <w:noWrap/>
            <w:vAlign w:val="center"/>
            <w:hideMark/>
          </w:tcPr>
          <w:p w14:paraId="0025801D"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4.567.967,16</w:t>
            </w:r>
          </w:p>
        </w:tc>
        <w:tc>
          <w:tcPr>
            <w:tcW w:w="1462" w:type="dxa"/>
            <w:tcBorders>
              <w:top w:val="nil"/>
              <w:left w:val="nil"/>
              <w:bottom w:val="single" w:sz="4" w:space="0" w:color="C0C0C0"/>
              <w:right w:val="single" w:sz="4" w:space="0" w:color="000080"/>
            </w:tcBorders>
            <w:shd w:val="clear" w:color="auto" w:fill="auto"/>
            <w:noWrap/>
            <w:vAlign w:val="center"/>
            <w:hideMark/>
          </w:tcPr>
          <w:p w14:paraId="39B07994"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5.268.263,13</w:t>
            </w:r>
          </w:p>
        </w:tc>
        <w:tc>
          <w:tcPr>
            <w:tcW w:w="1574" w:type="dxa"/>
            <w:tcBorders>
              <w:top w:val="nil"/>
              <w:left w:val="nil"/>
              <w:bottom w:val="single" w:sz="4" w:space="0" w:color="C0C0C0"/>
              <w:right w:val="single" w:sz="4" w:space="0" w:color="000000"/>
            </w:tcBorders>
            <w:shd w:val="clear" w:color="auto" w:fill="auto"/>
            <w:noWrap/>
            <w:vAlign w:val="center"/>
            <w:hideMark/>
          </w:tcPr>
          <w:p w14:paraId="42350094"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115,3</w:t>
            </w:r>
          </w:p>
        </w:tc>
      </w:tr>
      <w:tr w:rsidR="00A920E6" w:rsidRPr="00A920E6" w14:paraId="4D61793B"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7C1062BC"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38612</w:t>
            </w:r>
          </w:p>
        </w:tc>
        <w:tc>
          <w:tcPr>
            <w:tcW w:w="5157" w:type="dxa"/>
            <w:tcBorders>
              <w:top w:val="nil"/>
              <w:left w:val="nil"/>
              <w:bottom w:val="single" w:sz="4" w:space="0" w:color="C0C0C0"/>
              <w:right w:val="single" w:sz="4" w:space="0" w:color="000080"/>
            </w:tcBorders>
            <w:shd w:val="clear" w:color="auto" w:fill="auto"/>
            <w:vAlign w:val="center"/>
            <w:hideMark/>
          </w:tcPr>
          <w:p w14:paraId="1BA8D005"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Kapitalne pomoći trgovačkim društvima u javnom sektoru</w:t>
            </w:r>
          </w:p>
        </w:tc>
        <w:tc>
          <w:tcPr>
            <w:tcW w:w="2919" w:type="dxa"/>
            <w:tcBorders>
              <w:top w:val="nil"/>
              <w:left w:val="nil"/>
              <w:bottom w:val="single" w:sz="4" w:space="0" w:color="C0C0C0"/>
              <w:right w:val="single" w:sz="4" w:space="0" w:color="000080"/>
            </w:tcBorders>
            <w:shd w:val="clear" w:color="auto" w:fill="auto"/>
            <w:vAlign w:val="center"/>
            <w:hideMark/>
          </w:tcPr>
          <w:p w14:paraId="3640FDE6"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38612</w:t>
            </w:r>
          </w:p>
        </w:tc>
        <w:tc>
          <w:tcPr>
            <w:tcW w:w="1462" w:type="dxa"/>
            <w:tcBorders>
              <w:top w:val="nil"/>
              <w:left w:val="nil"/>
              <w:bottom w:val="single" w:sz="4" w:space="0" w:color="C0C0C0"/>
              <w:right w:val="single" w:sz="4" w:space="0" w:color="000080"/>
            </w:tcBorders>
            <w:shd w:val="clear" w:color="auto" w:fill="auto"/>
            <w:noWrap/>
            <w:vAlign w:val="center"/>
            <w:hideMark/>
          </w:tcPr>
          <w:p w14:paraId="76592F3A"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6.177.779,43</w:t>
            </w:r>
          </w:p>
        </w:tc>
        <w:tc>
          <w:tcPr>
            <w:tcW w:w="1462" w:type="dxa"/>
            <w:tcBorders>
              <w:top w:val="nil"/>
              <w:left w:val="nil"/>
              <w:bottom w:val="single" w:sz="4" w:space="0" w:color="C0C0C0"/>
              <w:right w:val="single" w:sz="4" w:space="0" w:color="000080"/>
            </w:tcBorders>
            <w:shd w:val="clear" w:color="auto" w:fill="auto"/>
            <w:noWrap/>
            <w:vAlign w:val="center"/>
            <w:hideMark/>
          </w:tcPr>
          <w:p w14:paraId="5675B9A2"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7.415.963,06</w:t>
            </w:r>
          </w:p>
        </w:tc>
        <w:tc>
          <w:tcPr>
            <w:tcW w:w="1574" w:type="dxa"/>
            <w:tcBorders>
              <w:top w:val="nil"/>
              <w:left w:val="nil"/>
              <w:bottom w:val="single" w:sz="4" w:space="0" w:color="C0C0C0"/>
              <w:right w:val="single" w:sz="4" w:space="0" w:color="000000"/>
            </w:tcBorders>
            <w:shd w:val="clear" w:color="auto" w:fill="auto"/>
            <w:noWrap/>
            <w:vAlign w:val="center"/>
            <w:hideMark/>
          </w:tcPr>
          <w:p w14:paraId="7D5F558A"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120,0</w:t>
            </w:r>
          </w:p>
        </w:tc>
      </w:tr>
      <w:tr w:rsidR="00A920E6" w:rsidRPr="00A920E6" w14:paraId="6C3F4190"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44D96D5C"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38622</w:t>
            </w:r>
          </w:p>
        </w:tc>
        <w:tc>
          <w:tcPr>
            <w:tcW w:w="5157" w:type="dxa"/>
            <w:tcBorders>
              <w:top w:val="nil"/>
              <w:left w:val="nil"/>
              <w:bottom w:val="single" w:sz="4" w:space="0" w:color="C0C0C0"/>
              <w:right w:val="single" w:sz="4" w:space="0" w:color="000080"/>
            </w:tcBorders>
            <w:shd w:val="clear" w:color="auto" w:fill="auto"/>
            <w:vAlign w:val="center"/>
            <w:hideMark/>
          </w:tcPr>
          <w:p w14:paraId="64453CA2"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Kapitalne pomoći trgovačkim društvima izvan javnog sektora</w:t>
            </w:r>
          </w:p>
        </w:tc>
        <w:tc>
          <w:tcPr>
            <w:tcW w:w="2919" w:type="dxa"/>
            <w:tcBorders>
              <w:top w:val="nil"/>
              <w:left w:val="nil"/>
              <w:bottom w:val="single" w:sz="4" w:space="0" w:color="C0C0C0"/>
              <w:right w:val="single" w:sz="4" w:space="0" w:color="000080"/>
            </w:tcBorders>
            <w:shd w:val="clear" w:color="auto" w:fill="auto"/>
            <w:vAlign w:val="center"/>
            <w:hideMark/>
          </w:tcPr>
          <w:p w14:paraId="4F34075D"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38622</w:t>
            </w:r>
          </w:p>
        </w:tc>
        <w:tc>
          <w:tcPr>
            <w:tcW w:w="1462" w:type="dxa"/>
            <w:tcBorders>
              <w:top w:val="nil"/>
              <w:left w:val="nil"/>
              <w:bottom w:val="single" w:sz="4" w:space="0" w:color="C0C0C0"/>
              <w:right w:val="single" w:sz="4" w:space="0" w:color="000080"/>
            </w:tcBorders>
            <w:shd w:val="clear" w:color="auto" w:fill="auto"/>
            <w:noWrap/>
            <w:vAlign w:val="center"/>
            <w:hideMark/>
          </w:tcPr>
          <w:p w14:paraId="1A0B65EF"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6.679.608,26</w:t>
            </w:r>
          </w:p>
        </w:tc>
        <w:tc>
          <w:tcPr>
            <w:tcW w:w="1462" w:type="dxa"/>
            <w:tcBorders>
              <w:top w:val="nil"/>
              <w:left w:val="nil"/>
              <w:bottom w:val="single" w:sz="4" w:space="0" w:color="C0C0C0"/>
              <w:right w:val="single" w:sz="4" w:space="0" w:color="000080"/>
            </w:tcBorders>
            <w:shd w:val="clear" w:color="auto" w:fill="auto"/>
            <w:noWrap/>
            <w:vAlign w:val="center"/>
            <w:hideMark/>
          </w:tcPr>
          <w:p w14:paraId="425251EC"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4.309.871,40</w:t>
            </w:r>
          </w:p>
        </w:tc>
        <w:tc>
          <w:tcPr>
            <w:tcW w:w="1574" w:type="dxa"/>
            <w:tcBorders>
              <w:top w:val="nil"/>
              <w:left w:val="nil"/>
              <w:bottom w:val="single" w:sz="4" w:space="0" w:color="C0C0C0"/>
              <w:right w:val="single" w:sz="4" w:space="0" w:color="000000"/>
            </w:tcBorders>
            <w:shd w:val="clear" w:color="auto" w:fill="auto"/>
            <w:noWrap/>
            <w:vAlign w:val="center"/>
            <w:hideMark/>
          </w:tcPr>
          <w:p w14:paraId="6B1DAB3D"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64,5</w:t>
            </w:r>
          </w:p>
        </w:tc>
      </w:tr>
      <w:tr w:rsidR="00A920E6" w:rsidRPr="00A920E6" w14:paraId="22A1C202"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0ED497B2"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38641</w:t>
            </w:r>
          </w:p>
        </w:tc>
        <w:tc>
          <w:tcPr>
            <w:tcW w:w="5157" w:type="dxa"/>
            <w:tcBorders>
              <w:top w:val="nil"/>
              <w:left w:val="nil"/>
              <w:bottom w:val="single" w:sz="4" w:space="0" w:color="C0C0C0"/>
              <w:right w:val="single" w:sz="4" w:space="0" w:color="000080"/>
            </w:tcBorders>
            <w:shd w:val="clear" w:color="auto" w:fill="auto"/>
            <w:vAlign w:val="center"/>
            <w:hideMark/>
          </w:tcPr>
          <w:p w14:paraId="0CCC4914"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 xml:space="preserve">Kapitalne pomoći subjektima u javnom sektoru iz EU sredstava </w:t>
            </w:r>
          </w:p>
        </w:tc>
        <w:tc>
          <w:tcPr>
            <w:tcW w:w="2919" w:type="dxa"/>
            <w:tcBorders>
              <w:top w:val="nil"/>
              <w:left w:val="nil"/>
              <w:bottom w:val="single" w:sz="4" w:space="0" w:color="C0C0C0"/>
              <w:right w:val="single" w:sz="4" w:space="0" w:color="000080"/>
            </w:tcBorders>
            <w:shd w:val="clear" w:color="auto" w:fill="auto"/>
            <w:vAlign w:val="center"/>
            <w:hideMark/>
          </w:tcPr>
          <w:p w14:paraId="141C4DB3"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38641</w:t>
            </w:r>
          </w:p>
        </w:tc>
        <w:tc>
          <w:tcPr>
            <w:tcW w:w="1462" w:type="dxa"/>
            <w:tcBorders>
              <w:top w:val="nil"/>
              <w:left w:val="nil"/>
              <w:bottom w:val="single" w:sz="4" w:space="0" w:color="C0C0C0"/>
              <w:right w:val="single" w:sz="4" w:space="0" w:color="000080"/>
            </w:tcBorders>
            <w:shd w:val="clear" w:color="auto" w:fill="auto"/>
            <w:noWrap/>
            <w:vAlign w:val="center"/>
            <w:hideMark/>
          </w:tcPr>
          <w:p w14:paraId="1CDD7FCE"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20.644.569,14</w:t>
            </w:r>
          </w:p>
        </w:tc>
        <w:tc>
          <w:tcPr>
            <w:tcW w:w="1462" w:type="dxa"/>
            <w:tcBorders>
              <w:top w:val="nil"/>
              <w:left w:val="nil"/>
              <w:bottom w:val="single" w:sz="4" w:space="0" w:color="C0C0C0"/>
              <w:right w:val="single" w:sz="4" w:space="0" w:color="000080"/>
            </w:tcBorders>
            <w:shd w:val="clear" w:color="auto" w:fill="auto"/>
            <w:noWrap/>
            <w:vAlign w:val="center"/>
            <w:hideMark/>
          </w:tcPr>
          <w:p w14:paraId="787CC904"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37.173.622,51</w:t>
            </w:r>
          </w:p>
        </w:tc>
        <w:tc>
          <w:tcPr>
            <w:tcW w:w="1574" w:type="dxa"/>
            <w:tcBorders>
              <w:top w:val="nil"/>
              <w:left w:val="nil"/>
              <w:bottom w:val="single" w:sz="4" w:space="0" w:color="C0C0C0"/>
              <w:right w:val="single" w:sz="4" w:space="0" w:color="000000"/>
            </w:tcBorders>
            <w:shd w:val="clear" w:color="auto" w:fill="auto"/>
            <w:noWrap/>
            <w:vAlign w:val="center"/>
            <w:hideMark/>
          </w:tcPr>
          <w:p w14:paraId="66388DB8"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180,1</w:t>
            </w:r>
          </w:p>
        </w:tc>
      </w:tr>
      <w:tr w:rsidR="00A920E6" w:rsidRPr="00A920E6" w14:paraId="353F8496"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329C8B5D"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38642</w:t>
            </w:r>
          </w:p>
        </w:tc>
        <w:tc>
          <w:tcPr>
            <w:tcW w:w="5157" w:type="dxa"/>
            <w:tcBorders>
              <w:top w:val="nil"/>
              <w:left w:val="nil"/>
              <w:bottom w:val="single" w:sz="4" w:space="0" w:color="C0C0C0"/>
              <w:right w:val="single" w:sz="4" w:space="0" w:color="000080"/>
            </w:tcBorders>
            <w:shd w:val="clear" w:color="auto" w:fill="auto"/>
            <w:vAlign w:val="center"/>
            <w:hideMark/>
          </w:tcPr>
          <w:p w14:paraId="3A9B30F3"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 xml:space="preserve">Kapitalne pomoći subjektima izvan javnog sektora iz EU sredstava </w:t>
            </w:r>
          </w:p>
        </w:tc>
        <w:tc>
          <w:tcPr>
            <w:tcW w:w="2919" w:type="dxa"/>
            <w:tcBorders>
              <w:top w:val="nil"/>
              <w:left w:val="nil"/>
              <w:bottom w:val="single" w:sz="4" w:space="0" w:color="C0C0C0"/>
              <w:right w:val="single" w:sz="4" w:space="0" w:color="000080"/>
            </w:tcBorders>
            <w:shd w:val="clear" w:color="auto" w:fill="auto"/>
            <w:vAlign w:val="center"/>
            <w:hideMark/>
          </w:tcPr>
          <w:p w14:paraId="6EB19CA9"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38642</w:t>
            </w:r>
          </w:p>
        </w:tc>
        <w:tc>
          <w:tcPr>
            <w:tcW w:w="1462" w:type="dxa"/>
            <w:tcBorders>
              <w:top w:val="nil"/>
              <w:left w:val="nil"/>
              <w:bottom w:val="single" w:sz="4" w:space="0" w:color="C0C0C0"/>
              <w:right w:val="single" w:sz="4" w:space="0" w:color="000080"/>
            </w:tcBorders>
            <w:shd w:val="clear" w:color="auto" w:fill="auto"/>
            <w:noWrap/>
            <w:vAlign w:val="center"/>
            <w:hideMark/>
          </w:tcPr>
          <w:p w14:paraId="2ED3FD0D"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26.673.519,13</w:t>
            </w:r>
          </w:p>
        </w:tc>
        <w:tc>
          <w:tcPr>
            <w:tcW w:w="1462" w:type="dxa"/>
            <w:tcBorders>
              <w:top w:val="nil"/>
              <w:left w:val="nil"/>
              <w:bottom w:val="single" w:sz="4" w:space="0" w:color="C0C0C0"/>
              <w:right w:val="single" w:sz="4" w:space="0" w:color="000080"/>
            </w:tcBorders>
            <w:shd w:val="clear" w:color="auto" w:fill="auto"/>
            <w:noWrap/>
            <w:vAlign w:val="center"/>
            <w:hideMark/>
          </w:tcPr>
          <w:p w14:paraId="159FA6BB"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3.920.577,37</w:t>
            </w:r>
          </w:p>
        </w:tc>
        <w:tc>
          <w:tcPr>
            <w:tcW w:w="1574" w:type="dxa"/>
            <w:tcBorders>
              <w:top w:val="nil"/>
              <w:left w:val="nil"/>
              <w:bottom w:val="single" w:sz="4" w:space="0" w:color="C0C0C0"/>
              <w:right w:val="single" w:sz="4" w:space="0" w:color="000000"/>
            </w:tcBorders>
            <w:shd w:val="clear" w:color="auto" w:fill="auto"/>
            <w:noWrap/>
            <w:vAlign w:val="center"/>
            <w:hideMark/>
          </w:tcPr>
          <w:p w14:paraId="28CC0098"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14,7</w:t>
            </w:r>
          </w:p>
        </w:tc>
      </w:tr>
      <w:tr w:rsidR="00A920E6" w:rsidRPr="00A920E6" w14:paraId="691B099E"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1CD26F9E"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lastRenderedPageBreak/>
              <w:t>38652</w:t>
            </w:r>
          </w:p>
        </w:tc>
        <w:tc>
          <w:tcPr>
            <w:tcW w:w="5157" w:type="dxa"/>
            <w:tcBorders>
              <w:top w:val="nil"/>
              <w:left w:val="nil"/>
              <w:bottom w:val="single" w:sz="4" w:space="0" w:color="C0C0C0"/>
              <w:right w:val="single" w:sz="4" w:space="0" w:color="000080"/>
            </w:tcBorders>
            <w:shd w:val="clear" w:color="auto" w:fill="auto"/>
            <w:vAlign w:val="center"/>
            <w:hideMark/>
          </w:tcPr>
          <w:p w14:paraId="5010BC7E"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Kapitalne pomoći tuzemnim trgovačkim društvima izvan javnog sektora po protestiranim jamstvima</w:t>
            </w:r>
          </w:p>
        </w:tc>
        <w:tc>
          <w:tcPr>
            <w:tcW w:w="2919" w:type="dxa"/>
            <w:tcBorders>
              <w:top w:val="nil"/>
              <w:left w:val="nil"/>
              <w:bottom w:val="single" w:sz="4" w:space="0" w:color="C0C0C0"/>
              <w:right w:val="single" w:sz="4" w:space="0" w:color="000080"/>
            </w:tcBorders>
            <w:shd w:val="clear" w:color="auto" w:fill="auto"/>
            <w:vAlign w:val="center"/>
            <w:hideMark/>
          </w:tcPr>
          <w:p w14:paraId="2D1BFB2D"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38652</w:t>
            </w:r>
          </w:p>
        </w:tc>
        <w:tc>
          <w:tcPr>
            <w:tcW w:w="1462" w:type="dxa"/>
            <w:tcBorders>
              <w:top w:val="nil"/>
              <w:left w:val="nil"/>
              <w:bottom w:val="single" w:sz="4" w:space="0" w:color="C0C0C0"/>
              <w:right w:val="single" w:sz="4" w:space="0" w:color="000080"/>
            </w:tcBorders>
            <w:shd w:val="clear" w:color="auto" w:fill="auto"/>
            <w:noWrap/>
            <w:vAlign w:val="center"/>
            <w:hideMark/>
          </w:tcPr>
          <w:p w14:paraId="257FB92D"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19.185,81</w:t>
            </w:r>
          </w:p>
        </w:tc>
        <w:tc>
          <w:tcPr>
            <w:tcW w:w="1462" w:type="dxa"/>
            <w:tcBorders>
              <w:top w:val="nil"/>
              <w:left w:val="nil"/>
              <w:bottom w:val="single" w:sz="4" w:space="0" w:color="C0C0C0"/>
              <w:right w:val="single" w:sz="4" w:space="0" w:color="000080"/>
            </w:tcBorders>
            <w:shd w:val="clear" w:color="auto" w:fill="auto"/>
            <w:noWrap/>
            <w:vAlign w:val="center"/>
            <w:hideMark/>
          </w:tcPr>
          <w:p w14:paraId="2FEFC64B"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654.777,26</w:t>
            </w:r>
          </w:p>
        </w:tc>
        <w:tc>
          <w:tcPr>
            <w:tcW w:w="1574" w:type="dxa"/>
            <w:tcBorders>
              <w:top w:val="nil"/>
              <w:left w:val="nil"/>
              <w:bottom w:val="single" w:sz="4" w:space="0" w:color="C0C0C0"/>
              <w:right w:val="single" w:sz="4" w:space="0" w:color="000000"/>
            </w:tcBorders>
            <w:shd w:val="clear" w:color="auto" w:fill="auto"/>
            <w:noWrap/>
            <w:vAlign w:val="center"/>
            <w:hideMark/>
          </w:tcPr>
          <w:p w14:paraId="1C970803"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3.412,8</w:t>
            </w:r>
          </w:p>
        </w:tc>
      </w:tr>
      <w:tr w:rsidR="00A920E6" w:rsidRPr="00A920E6" w14:paraId="0D08049A"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22CB580F" w14:textId="77777777" w:rsidR="00A920E6" w:rsidRPr="00A920E6" w:rsidRDefault="00A920E6" w:rsidP="00A920E6">
            <w:pPr>
              <w:rPr>
                <w:rFonts w:ascii="Arial" w:hAnsi="Arial" w:cs="Arial"/>
                <w:sz w:val="18"/>
                <w:szCs w:val="18"/>
              </w:rPr>
            </w:pPr>
            <w:r w:rsidRPr="00A920E6">
              <w:rPr>
                <w:rFonts w:ascii="Arial" w:hAnsi="Arial" w:cs="Arial"/>
                <w:sz w:val="18"/>
                <w:szCs w:val="18"/>
              </w:rPr>
              <w:t>84142</w:t>
            </w:r>
          </w:p>
        </w:tc>
        <w:tc>
          <w:tcPr>
            <w:tcW w:w="5157" w:type="dxa"/>
            <w:tcBorders>
              <w:top w:val="nil"/>
              <w:left w:val="nil"/>
              <w:bottom w:val="single" w:sz="4" w:space="0" w:color="C0C0C0"/>
              <w:right w:val="single" w:sz="4" w:space="0" w:color="000080"/>
            </w:tcBorders>
            <w:shd w:val="clear" w:color="auto" w:fill="auto"/>
            <w:vAlign w:val="center"/>
            <w:hideMark/>
          </w:tcPr>
          <w:p w14:paraId="6DFE066C" w14:textId="77777777" w:rsidR="00A920E6" w:rsidRPr="00A920E6" w:rsidRDefault="00A920E6" w:rsidP="00A920E6">
            <w:pPr>
              <w:rPr>
                <w:rFonts w:ascii="Arial" w:hAnsi="Arial" w:cs="Arial"/>
                <w:sz w:val="18"/>
                <w:szCs w:val="18"/>
              </w:rPr>
            </w:pPr>
            <w:r w:rsidRPr="00A920E6">
              <w:rPr>
                <w:rFonts w:ascii="Arial" w:hAnsi="Arial" w:cs="Arial"/>
                <w:sz w:val="18"/>
                <w:szCs w:val="18"/>
              </w:rPr>
              <w:t>Primljeni krediti i zajmovi od institucija i tijela EU - dugoročni</w:t>
            </w:r>
          </w:p>
        </w:tc>
        <w:tc>
          <w:tcPr>
            <w:tcW w:w="2919" w:type="dxa"/>
            <w:tcBorders>
              <w:top w:val="nil"/>
              <w:left w:val="nil"/>
              <w:bottom w:val="single" w:sz="4" w:space="0" w:color="C0C0C0"/>
              <w:right w:val="single" w:sz="4" w:space="0" w:color="000080"/>
            </w:tcBorders>
            <w:shd w:val="clear" w:color="auto" w:fill="auto"/>
            <w:vAlign w:val="center"/>
            <w:hideMark/>
          </w:tcPr>
          <w:p w14:paraId="454953CF" w14:textId="77777777" w:rsidR="00A920E6" w:rsidRPr="00A920E6" w:rsidRDefault="00A920E6" w:rsidP="00A920E6">
            <w:pPr>
              <w:rPr>
                <w:rFonts w:ascii="Arial" w:hAnsi="Arial" w:cs="Arial"/>
                <w:b/>
                <w:bCs/>
                <w:sz w:val="18"/>
                <w:szCs w:val="18"/>
              </w:rPr>
            </w:pPr>
            <w:r w:rsidRPr="00A920E6">
              <w:rPr>
                <w:rFonts w:ascii="Arial" w:hAnsi="Arial" w:cs="Arial"/>
                <w:b/>
                <w:bCs/>
                <w:sz w:val="18"/>
                <w:szCs w:val="18"/>
              </w:rPr>
              <w:t>84142</w:t>
            </w:r>
          </w:p>
        </w:tc>
        <w:tc>
          <w:tcPr>
            <w:tcW w:w="1462" w:type="dxa"/>
            <w:tcBorders>
              <w:top w:val="nil"/>
              <w:left w:val="nil"/>
              <w:bottom w:val="single" w:sz="4" w:space="0" w:color="C0C0C0"/>
              <w:right w:val="single" w:sz="4" w:space="0" w:color="000080"/>
            </w:tcBorders>
            <w:shd w:val="clear" w:color="auto" w:fill="auto"/>
            <w:noWrap/>
            <w:vAlign w:val="center"/>
            <w:hideMark/>
          </w:tcPr>
          <w:p w14:paraId="29210418"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108.500.000,00</w:t>
            </w:r>
          </w:p>
        </w:tc>
        <w:tc>
          <w:tcPr>
            <w:tcW w:w="1462" w:type="dxa"/>
            <w:tcBorders>
              <w:top w:val="nil"/>
              <w:left w:val="nil"/>
              <w:bottom w:val="single" w:sz="4" w:space="0" w:color="C0C0C0"/>
              <w:right w:val="single" w:sz="4" w:space="0" w:color="000080"/>
            </w:tcBorders>
            <w:shd w:val="clear" w:color="auto" w:fill="auto"/>
            <w:noWrap/>
            <w:vAlign w:val="center"/>
            <w:hideMark/>
          </w:tcPr>
          <w:p w14:paraId="72A6C2AA"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134.215.570,17</w:t>
            </w:r>
          </w:p>
        </w:tc>
        <w:tc>
          <w:tcPr>
            <w:tcW w:w="1574" w:type="dxa"/>
            <w:tcBorders>
              <w:top w:val="nil"/>
              <w:left w:val="nil"/>
              <w:bottom w:val="single" w:sz="4" w:space="0" w:color="C0C0C0"/>
              <w:right w:val="single" w:sz="4" w:space="0" w:color="000000"/>
            </w:tcBorders>
            <w:shd w:val="clear" w:color="auto" w:fill="auto"/>
            <w:noWrap/>
            <w:vAlign w:val="center"/>
            <w:hideMark/>
          </w:tcPr>
          <w:p w14:paraId="0286EB92"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123,7</w:t>
            </w:r>
          </w:p>
        </w:tc>
      </w:tr>
      <w:tr w:rsidR="00A920E6" w:rsidRPr="00A920E6" w14:paraId="11C4DCCD"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37DCCECB"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51632</w:t>
            </w:r>
          </w:p>
        </w:tc>
        <w:tc>
          <w:tcPr>
            <w:tcW w:w="5157" w:type="dxa"/>
            <w:tcBorders>
              <w:top w:val="nil"/>
              <w:left w:val="nil"/>
              <w:bottom w:val="single" w:sz="4" w:space="0" w:color="C0C0C0"/>
              <w:right w:val="single" w:sz="4" w:space="0" w:color="000080"/>
            </w:tcBorders>
            <w:shd w:val="clear" w:color="auto" w:fill="auto"/>
            <w:vAlign w:val="center"/>
            <w:hideMark/>
          </w:tcPr>
          <w:p w14:paraId="2CF61059" w14:textId="77777777" w:rsidR="00A920E6" w:rsidRPr="00A920E6" w:rsidRDefault="00A920E6" w:rsidP="00A920E6">
            <w:pPr>
              <w:rPr>
                <w:rFonts w:ascii="Arial" w:hAnsi="Arial" w:cs="Arial"/>
                <w:color w:val="000000"/>
                <w:sz w:val="18"/>
                <w:szCs w:val="18"/>
              </w:rPr>
            </w:pPr>
            <w:r w:rsidRPr="00A920E6">
              <w:rPr>
                <w:rFonts w:ascii="Arial" w:hAnsi="Arial" w:cs="Arial"/>
                <w:color w:val="000000"/>
                <w:sz w:val="18"/>
                <w:szCs w:val="18"/>
              </w:rPr>
              <w:t>Dani zajmovi tuzemnim trgovačkim društvima izvan javnog sektora – dugoročni</w:t>
            </w:r>
          </w:p>
        </w:tc>
        <w:tc>
          <w:tcPr>
            <w:tcW w:w="2919" w:type="dxa"/>
            <w:tcBorders>
              <w:top w:val="nil"/>
              <w:left w:val="nil"/>
              <w:bottom w:val="single" w:sz="4" w:space="0" w:color="C0C0C0"/>
              <w:right w:val="single" w:sz="4" w:space="0" w:color="000080"/>
            </w:tcBorders>
            <w:shd w:val="clear" w:color="auto" w:fill="auto"/>
            <w:vAlign w:val="center"/>
            <w:hideMark/>
          </w:tcPr>
          <w:p w14:paraId="76DDEE8F"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51632</w:t>
            </w:r>
          </w:p>
        </w:tc>
        <w:tc>
          <w:tcPr>
            <w:tcW w:w="1462" w:type="dxa"/>
            <w:tcBorders>
              <w:top w:val="nil"/>
              <w:left w:val="nil"/>
              <w:bottom w:val="single" w:sz="4" w:space="0" w:color="C0C0C0"/>
              <w:right w:val="single" w:sz="4" w:space="0" w:color="000080"/>
            </w:tcBorders>
            <w:shd w:val="clear" w:color="auto" w:fill="auto"/>
            <w:noWrap/>
            <w:vAlign w:val="center"/>
            <w:hideMark/>
          </w:tcPr>
          <w:p w14:paraId="3B15E80C"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720.749,60</w:t>
            </w:r>
          </w:p>
        </w:tc>
        <w:tc>
          <w:tcPr>
            <w:tcW w:w="1462" w:type="dxa"/>
            <w:tcBorders>
              <w:top w:val="nil"/>
              <w:left w:val="nil"/>
              <w:bottom w:val="single" w:sz="4" w:space="0" w:color="C0C0C0"/>
              <w:right w:val="single" w:sz="4" w:space="0" w:color="000080"/>
            </w:tcBorders>
            <w:shd w:val="clear" w:color="auto" w:fill="auto"/>
            <w:noWrap/>
            <w:vAlign w:val="center"/>
            <w:hideMark/>
          </w:tcPr>
          <w:p w14:paraId="5273F730"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 </w:t>
            </w:r>
          </w:p>
        </w:tc>
        <w:tc>
          <w:tcPr>
            <w:tcW w:w="1574" w:type="dxa"/>
            <w:tcBorders>
              <w:top w:val="nil"/>
              <w:left w:val="nil"/>
              <w:bottom w:val="single" w:sz="4" w:space="0" w:color="C0C0C0"/>
              <w:right w:val="single" w:sz="4" w:space="0" w:color="000000"/>
            </w:tcBorders>
            <w:shd w:val="clear" w:color="auto" w:fill="auto"/>
            <w:noWrap/>
            <w:vAlign w:val="center"/>
            <w:hideMark/>
          </w:tcPr>
          <w:p w14:paraId="45DEDCAE" w14:textId="77777777" w:rsidR="00A920E6" w:rsidRPr="00A920E6" w:rsidRDefault="00A920E6" w:rsidP="00A920E6">
            <w:pPr>
              <w:jc w:val="right"/>
              <w:rPr>
                <w:rFonts w:ascii="Arial" w:hAnsi="Arial" w:cs="Arial"/>
                <w:color w:val="000000"/>
                <w:sz w:val="16"/>
                <w:szCs w:val="16"/>
              </w:rPr>
            </w:pPr>
            <w:r w:rsidRPr="00A920E6">
              <w:rPr>
                <w:rFonts w:ascii="Arial" w:hAnsi="Arial" w:cs="Arial"/>
                <w:color w:val="000000"/>
                <w:sz w:val="16"/>
                <w:szCs w:val="16"/>
              </w:rPr>
              <w:t>0,0</w:t>
            </w:r>
          </w:p>
        </w:tc>
      </w:tr>
      <w:tr w:rsidR="00A920E6" w:rsidRPr="00A920E6" w14:paraId="5DF0DFC4" w14:textId="77777777" w:rsidTr="00145A75">
        <w:trPr>
          <w:trHeight w:val="402"/>
        </w:trPr>
        <w:tc>
          <w:tcPr>
            <w:tcW w:w="6475" w:type="dxa"/>
            <w:gridSpan w:val="2"/>
            <w:tcBorders>
              <w:top w:val="single" w:sz="4" w:space="0" w:color="000000"/>
              <w:left w:val="single" w:sz="4" w:space="0" w:color="000000"/>
              <w:bottom w:val="single" w:sz="4" w:space="0" w:color="000000"/>
              <w:right w:val="nil"/>
            </w:tcBorders>
            <w:shd w:val="clear" w:color="DBE5F1" w:fill="DBE5F1"/>
            <w:vAlign w:val="center"/>
            <w:hideMark/>
          </w:tcPr>
          <w:p w14:paraId="4101B916" w14:textId="77777777" w:rsidR="00A920E6" w:rsidRPr="00A920E6" w:rsidRDefault="00A920E6" w:rsidP="00A920E6">
            <w:pPr>
              <w:rPr>
                <w:rFonts w:ascii="Arial" w:hAnsi="Arial" w:cs="Arial"/>
                <w:b/>
                <w:bCs/>
                <w:color w:val="0C0C0C"/>
              </w:rPr>
            </w:pPr>
            <w:r w:rsidRPr="00A920E6">
              <w:rPr>
                <w:rFonts w:ascii="Arial" w:hAnsi="Arial" w:cs="Arial"/>
                <w:b/>
                <w:bCs/>
                <w:color w:val="0C0C0C"/>
              </w:rPr>
              <w:t>Obvezni dodatni podaci</w:t>
            </w:r>
          </w:p>
        </w:tc>
        <w:tc>
          <w:tcPr>
            <w:tcW w:w="2919" w:type="dxa"/>
            <w:tcBorders>
              <w:top w:val="nil"/>
              <w:left w:val="nil"/>
              <w:bottom w:val="single" w:sz="4" w:space="0" w:color="000000"/>
              <w:right w:val="nil"/>
            </w:tcBorders>
            <w:shd w:val="clear" w:color="DBE5F1" w:fill="DBE5F1"/>
            <w:noWrap/>
            <w:vAlign w:val="center"/>
            <w:hideMark/>
          </w:tcPr>
          <w:p w14:paraId="7A264938"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 </w:t>
            </w:r>
          </w:p>
        </w:tc>
        <w:tc>
          <w:tcPr>
            <w:tcW w:w="1462" w:type="dxa"/>
            <w:tcBorders>
              <w:top w:val="nil"/>
              <w:left w:val="nil"/>
              <w:bottom w:val="single" w:sz="4" w:space="0" w:color="000000"/>
              <w:right w:val="nil"/>
            </w:tcBorders>
            <w:shd w:val="clear" w:color="DBE5F1" w:fill="DBE5F1"/>
            <w:noWrap/>
            <w:vAlign w:val="center"/>
            <w:hideMark/>
          </w:tcPr>
          <w:p w14:paraId="29D3ED72" w14:textId="77777777" w:rsidR="00A920E6" w:rsidRPr="00A920E6" w:rsidRDefault="00A920E6" w:rsidP="00A920E6">
            <w:pPr>
              <w:rPr>
                <w:rFonts w:ascii="Arial" w:hAnsi="Arial" w:cs="Arial"/>
                <w:b/>
                <w:bCs/>
                <w:color w:val="0C0C0C"/>
                <w:sz w:val="16"/>
                <w:szCs w:val="16"/>
              </w:rPr>
            </w:pPr>
            <w:r w:rsidRPr="00A920E6">
              <w:rPr>
                <w:rFonts w:ascii="Arial" w:hAnsi="Arial" w:cs="Arial"/>
                <w:b/>
                <w:bCs/>
                <w:color w:val="0C0C0C"/>
                <w:sz w:val="16"/>
                <w:szCs w:val="16"/>
              </w:rPr>
              <w:t> </w:t>
            </w:r>
          </w:p>
        </w:tc>
        <w:tc>
          <w:tcPr>
            <w:tcW w:w="1462" w:type="dxa"/>
            <w:tcBorders>
              <w:top w:val="nil"/>
              <w:left w:val="nil"/>
              <w:bottom w:val="single" w:sz="4" w:space="0" w:color="000000"/>
              <w:right w:val="nil"/>
            </w:tcBorders>
            <w:shd w:val="clear" w:color="DBE5F1" w:fill="DBE5F1"/>
            <w:noWrap/>
            <w:vAlign w:val="center"/>
            <w:hideMark/>
          </w:tcPr>
          <w:p w14:paraId="4248EAE2" w14:textId="77777777" w:rsidR="00A920E6" w:rsidRPr="00A920E6" w:rsidRDefault="00A920E6" w:rsidP="00A920E6">
            <w:pPr>
              <w:rPr>
                <w:rFonts w:ascii="Arial" w:hAnsi="Arial" w:cs="Arial"/>
                <w:b/>
                <w:bCs/>
                <w:color w:val="0C0C0C"/>
                <w:sz w:val="16"/>
                <w:szCs w:val="16"/>
              </w:rPr>
            </w:pPr>
            <w:r w:rsidRPr="00A920E6">
              <w:rPr>
                <w:rFonts w:ascii="Arial" w:hAnsi="Arial" w:cs="Arial"/>
                <w:b/>
                <w:bCs/>
                <w:color w:val="0C0C0C"/>
                <w:sz w:val="16"/>
                <w:szCs w:val="16"/>
              </w:rPr>
              <w:t> </w:t>
            </w:r>
          </w:p>
        </w:tc>
        <w:tc>
          <w:tcPr>
            <w:tcW w:w="1574" w:type="dxa"/>
            <w:tcBorders>
              <w:top w:val="nil"/>
              <w:left w:val="nil"/>
              <w:bottom w:val="nil"/>
              <w:right w:val="single" w:sz="4" w:space="0" w:color="000000"/>
            </w:tcBorders>
            <w:shd w:val="clear" w:color="DBE5F1" w:fill="DBE5F1"/>
            <w:noWrap/>
            <w:vAlign w:val="center"/>
            <w:hideMark/>
          </w:tcPr>
          <w:p w14:paraId="0267A9FC" w14:textId="77777777" w:rsidR="00A920E6" w:rsidRPr="00A920E6" w:rsidRDefault="00A920E6" w:rsidP="00A920E6">
            <w:pPr>
              <w:rPr>
                <w:rFonts w:ascii="Arial" w:hAnsi="Arial" w:cs="Arial"/>
                <w:b/>
                <w:bCs/>
                <w:color w:val="0C0C0C"/>
                <w:sz w:val="16"/>
                <w:szCs w:val="16"/>
              </w:rPr>
            </w:pPr>
            <w:r w:rsidRPr="00A920E6">
              <w:rPr>
                <w:rFonts w:ascii="Arial" w:hAnsi="Arial" w:cs="Arial"/>
                <w:b/>
                <w:bCs/>
                <w:color w:val="0C0C0C"/>
                <w:sz w:val="16"/>
                <w:szCs w:val="16"/>
              </w:rPr>
              <w:t> </w:t>
            </w:r>
          </w:p>
        </w:tc>
      </w:tr>
      <w:tr w:rsidR="00A920E6" w:rsidRPr="00A920E6" w14:paraId="648BC511" w14:textId="77777777" w:rsidTr="00145A75">
        <w:trPr>
          <w:trHeight w:val="780"/>
        </w:trPr>
        <w:tc>
          <w:tcPr>
            <w:tcW w:w="1318" w:type="dxa"/>
            <w:tcBorders>
              <w:top w:val="nil"/>
              <w:left w:val="single" w:sz="4" w:space="0" w:color="000000"/>
              <w:bottom w:val="single" w:sz="4" w:space="0" w:color="000000"/>
              <w:right w:val="single" w:sz="4" w:space="0" w:color="000080"/>
            </w:tcBorders>
            <w:shd w:val="clear" w:color="auto" w:fill="auto"/>
            <w:vAlign w:val="center"/>
            <w:hideMark/>
          </w:tcPr>
          <w:p w14:paraId="7CC55D62" w14:textId="77777777" w:rsidR="00A920E6" w:rsidRPr="00A920E6" w:rsidRDefault="00A920E6" w:rsidP="00A920E6">
            <w:pPr>
              <w:rPr>
                <w:rFonts w:ascii="Arial" w:hAnsi="Arial" w:cs="Arial"/>
                <w:b/>
                <w:bCs/>
                <w:color w:val="000000"/>
                <w:sz w:val="18"/>
                <w:szCs w:val="18"/>
              </w:rPr>
            </w:pPr>
            <w:r w:rsidRPr="00A920E6">
              <w:rPr>
                <w:rFonts w:ascii="Arial" w:hAnsi="Arial" w:cs="Arial"/>
                <w:b/>
                <w:bCs/>
                <w:color w:val="000000"/>
                <w:sz w:val="18"/>
                <w:szCs w:val="18"/>
              </w:rPr>
              <w:t xml:space="preserve">Račun iz </w:t>
            </w:r>
            <w:proofErr w:type="spellStart"/>
            <w:r w:rsidRPr="00A920E6">
              <w:rPr>
                <w:rFonts w:ascii="Arial" w:hAnsi="Arial" w:cs="Arial"/>
                <w:b/>
                <w:bCs/>
                <w:color w:val="000000"/>
                <w:sz w:val="18"/>
                <w:szCs w:val="18"/>
              </w:rPr>
              <w:t>rač</w:t>
            </w:r>
            <w:proofErr w:type="spellEnd"/>
            <w:r w:rsidRPr="00A920E6">
              <w:rPr>
                <w:rFonts w:ascii="Arial" w:hAnsi="Arial" w:cs="Arial"/>
                <w:b/>
                <w:bCs/>
                <w:color w:val="000000"/>
                <w:sz w:val="18"/>
                <w:szCs w:val="18"/>
              </w:rPr>
              <w:t>. plana</w:t>
            </w:r>
          </w:p>
        </w:tc>
        <w:tc>
          <w:tcPr>
            <w:tcW w:w="5157" w:type="dxa"/>
            <w:tcBorders>
              <w:top w:val="nil"/>
              <w:left w:val="nil"/>
              <w:bottom w:val="single" w:sz="4" w:space="0" w:color="000000"/>
              <w:right w:val="single" w:sz="4" w:space="0" w:color="000080"/>
            </w:tcBorders>
            <w:shd w:val="clear" w:color="auto" w:fill="auto"/>
            <w:vAlign w:val="center"/>
            <w:hideMark/>
          </w:tcPr>
          <w:p w14:paraId="3A9C811F" w14:textId="77777777" w:rsidR="00A920E6" w:rsidRPr="00A920E6" w:rsidRDefault="00A920E6" w:rsidP="00A920E6">
            <w:pPr>
              <w:rPr>
                <w:rFonts w:ascii="Arial" w:hAnsi="Arial" w:cs="Arial"/>
                <w:b/>
                <w:bCs/>
                <w:color w:val="000000"/>
                <w:sz w:val="18"/>
                <w:szCs w:val="18"/>
              </w:rPr>
            </w:pPr>
            <w:r w:rsidRPr="00A920E6">
              <w:rPr>
                <w:rFonts w:ascii="Arial" w:hAnsi="Arial" w:cs="Arial"/>
                <w:b/>
                <w:bCs/>
                <w:color w:val="000000"/>
                <w:sz w:val="18"/>
                <w:szCs w:val="18"/>
              </w:rPr>
              <w:t>Opis stavke</w:t>
            </w:r>
          </w:p>
        </w:tc>
        <w:tc>
          <w:tcPr>
            <w:tcW w:w="2919" w:type="dxa"/>
            <w:tcBorders>
              <w:top w:val="nil"/>
              <w:left w:val="nil"/>
              <w:bottom w:val="single" w:sz="4" w:space="0" w:color="000000"/>
              <w:right w:val="single" w:sz="4" w:space="0" w:color="000080"/>
            </w:tcBorders>
            <w:shd w:val="clear" w:color="auto" w:fill="auto"/>
            <w:vAlign w:val="center"/>
            <w:hideMark/>
          </w:tcPr>
          <w:p w14:paraId="21125A4E" w14:textId="77777777" w:rsidR="00A920E6" w:rsidRPr="00A920E6" w:rsidRDefault="00A920E6" w:rsidP="00A920E6">
            <w:pPr>
              <w:rPr>
                <w:rFonts w:ascii="Arial" w:hAnsi="Arial" w:cs="Arial"/>
                <w:b/>
                <w:bCs/>
                <w:color w:val="0C0C0C"/>
                <w:sz w:val="18"/>
                <w:szCs w:val="18"/>
              </w:rPr>
            </w:pPr>
            <w:r w:rsidRPr="00A920E6">
              <w:rPr>
                <w:rFonts w:ascii="Arial" w:hAnsi="Arial" w:cs="Arial"/>
                <w:b/>
                <w:bCs/>
                <w:color w:val="0C0C0C"/>
                <w:sz w:val="18"/>
                <w:szCs w:val="18"/>
              </w:rPr>
              <w:t>Šifra</w:t>
            </w:r>
          </w:p>
        </w:tc>
        <w:tc>
          <w:tcPr>
            <w:tcW w:w="1462" w:type="dxa"/>
            <w:tcBorders>
              <w:top w:val="nil"/>
              <w:left w:val="nil"/>
              <w:bottom w:val="single" w:sz="4" w:space="0" w:color="000000"/>
              <w:right w:val="single" w:sz="4" w:space="0" w:color="000000"/>
            </w:tcBorders>
            <w:shd w:val="clear" w:color="auto" w:fill="auto"/>
            <w:vAlign w:val="center"/>
            <w:hideMark/>
          </w:tcPr>
          <w:p w14:paraId="581F2638" w14:textId="77777777" w:rsidR="00A920E6" w:rsidRPr="00A920E6" w:rsidRDefault="00A920E6" w:rsidP="00A920E6">
            <w:pPr>
              <w:jc w:val="center"/>
              <w:rPr>
                <w:rFonts w:ascii="Arial" w:hAnsi="Arial" w:cs="Arial"/>
                <w:b/>
                <w:bCs/>
                <w:color w:val="000000"/>
                <w:sz w:val="18"/>
                <w:szCs w:val="18"/>
              </w:rPr>
            </w:pPr>
            <w:r w:rsidRPr="00A920E6">
              <w:rPr>
                <w:rFonts w:ascii="Arial" w:hAnsi="Arial" w:cs="Arial"/>
                <w:b/>
                <w:bCs/>
                <w:color w:val="000000"/>
                <w:sz w:val="18"/>
                <w:szCs w:val="18"/>
              </w:rPr>
              <w:t>Stanje na kraju prethodne godine</w:t>
            </w:r>
          </w:p>
        </w:tc>
        <w:tc>
          <w:tcPr>
            <w:tcW w:w="1462" w:type="dxa"/>
            <w:tcBorders>
              <w:top w:val="nil"/>
              <w:left w:val="nil"/>
              <w:bottom w:val="nil"/>
              <w:right w:val="nil"/>
            </w:tcBorders>
            <w:shd w:val="clear" w:color="auto" w:fill="auto"/>
            <w:vAlign w:val="center"/>
            <w:hideMark/>
          </w:tcPr>
          <w:p w14:paraId="3E0A21EA" w14:textId="77777777" w:rsidR="00A920E6" w:rsidRPr="00A920E6" w:rsidRDefault="00A920E6" w:rsidP="00A920E6">
            <w:pPr>
              <w:jc w:val="center"/>
              <w:rPr>
                <w:rFonts w:ascii="Arial" w:hAnsi="Arial" w:cs="Arial"/>
                <w:b/>
                <w:bCs/>
                <w:color w:val="000000"/>
                <w:sz w:val="18"/>
                <w:szCs w:val="18"/>
              </w:rPr>
            </w:pPr>
            <w:r w:rsidRPr="00A920E6">
              <w:rPr>
                <w:rFonts w:ascii="Arial" w:hAnsi="Arial" w:cs="Arial"/>
                <w:b/>
                <w:bCs/>
                <w:color w:val="000000"/>
                <w:sz w:val="18"/>
                <w:szCs w:val="18"/>
              </w:rPr>
              <w:t>Stanje na kraju izvještajnog razdoblja</w:t>
            </w:r>
          </w:p>
        </w:tc>
        <w:tc>
          <w:tcPr>
            <w:tcW w:w="1574" w:type="dxa"/>
            <w:tcBorders>
              <w:top w:val="single" w:sz="4" w:space="0" w:color="000000"/>
              <w:left w:val="single" w:sz="4" w:space="0" w:color="000080"/>
              <w:bottom w:val="single" w:sz="4" w:space="0" w:color="000000"/>
              <w:right w:val="single" w:sz="4" w:space="0" w:color="000000"/>
            </w:tcBorders>
            <w:shd w:val="clear" w:color="auto" w:fill="auto"/>
            <w:vAlign w:val="center"/>
            <w:hideMark/>
          </w:tcPr>
          <w:p w14:paraId="25C3D33E" w14:textId="77777777" w:rsidR="00A920E6" w:rsidRPr="00A920E6" w:rsidRDefault="00A920E6" w:rsidP="00A920E6">
            <w:pPr>
              <w:jc w:val="center"/>
              <w:rPr>
                <w:rFonts w:ascii="Arial" w:hAnsi="Arial" w:cs="Arial"/>
                <w:b/>
                <w:bCs/>
                <w:color w:val="000000"/>
                <w:sz w:val="18"/>
                <w:szCs w:val="18"/>
              </w:rPr>
            </w:pPr>
            <w:r w:rsidRPr="00A920E6">
              <w:rPr>
                <w:rFonts w:ascii="Arial" w:hAnsi="Arial" w:cs="Arial"/>
                <w:b/>
                <w:bCs/>
                <w:color w:val="000000"/>
                <w:sz w:val="18"/>
                <w:szCs w:val="18"/>
              </w:rPr>
              <w:t>Indeks</w:t>
            </w:r>
            <w:r w:rsidRPr="00A920E6">
              <w:rPr>
                <w:rFonts w:ascii="Arial" w:hAnsi="Arial" w:cs="Arial"/>
                <w:b/>
                <w:bCs/>
                <w:color w:val="000000"/>
                <w:sz w:val="18"/>
                <w:szCs w:val="18"/>
              </w:rPr>
              <w:br/>
              <w:t>(5/4)</w:t>
            </w:r>
          </w:p>
        </w:tc>
      </w:tr>
      <w:tr w:rsidR="00A920E6" w:rsidRPr="00A920E6" w14:paraId="2F84D17F" w14:textId="77777777" w:rsidTr="00145A75">
        <w:trPr>
          <w:trHeight w:val="72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61140B52" w14:textId="77777777" w:rsidR="00A920E6" w:rsidRPr="00A920E6" w:rsidRDefault="00A920E6" w:rsidP="00A920E6">
            <w:pPr>
              <w:rPr>
                <w:rFonts w:ascii="Arial" w:hAnsi="Arial" w:cs="Arial"/>
                <w:sz w:val="18"/>
                <w:szCs w:val="18"/>
              </w:rPr>
            </w:pPr>
            <w:r w:rsidRPr="00A920E6">
              <w:rPr>
                <w:rFonts w:ascii="Arial" w:hAnsi="Arial" w:cs="Arial"/>
                <w:sz w:val="18"/>
                <w:szCs w:val="18"/>
              </w:rPr>
              <w:t>26224,26233, 26244,26314</w:t>
            </w:r>
          </w:p>
        </w:tc>
        <w:tc>
          <w:tcPr>
            <w:tcW w:w="5157" w:type="dxa"/>
            <w:tcBorders>
              <w:top w:val="nil"/>
              <w:left w:val="nil"/>
              <w:bottom w:val="single" w:sz="4" w:space="0" w:color="C0C0C0"/>
              <w:right w:val="single" w:sz="4" w:space="0" w:color="000080"/>
            </w:tcBorders>
            <w:shd w:val="clear" w:color="auto" w:fill="auto"/>
            <w:vAlign w:val="center"/>
            <w:hideMark/>
          </w:tcPr>
          <w:p w14:paraId="59032314" w14:textId="77777777" w:rsidR="00A920E6" w:rsidRPr="00A920E6" w:rsidRDefault="00A920E6" w:rsidP="00A920E6">
            <w:pPr>
              <w:rPr>
                <w:rFonts w:ascii="Arial" w:hAnsi="Arial" w:cs="Arial"/>
                <w:sz w:val="18"/>
                <w:szCs w:val="18"/>
              </w:rPr>
            </w:pPr>
            <w:r w:rsidRPr="00A920E6">
              <w:rPr>
                <w:rFonts w:ascii="Arial" w:hAnsi="Arial" w:cs="Arial"/>
                <w:sz w:val="18"/>
                <w:szCs w:val="18"/>
              </w:rPr>
              <w:t xml:space="preserve">Obveze za zajmove po </w:t>
            </w:r>
            <w:proofErr w:type="spellStart"/>
            <w:r w:rsidRPr="00A920E6">
              <w:rPr>
                <w:rFonts w:ascii="Arial" w:hAnsi="Arial" w:cs="Arial"/>
                <w:sz w:val="18"/>
                <w:szCs w:val="18"/>
              </w:rPr>
              <w:t>faktoringu</w:t>
            </w:r>
            <w:proofErr w:type="spellEnd"/>
            <w:r w:rsidRPr="00A920E6">
              <w:rPr>
                <w:rFonts w:ascii="Arial" w:hAnsi="Arial" w:cs="Arial"/>
                <w:sz w:val="18"/>
                <w:szCs w:val="18"/>
              </w:rPr>
              <w:t xml:space="preserve"> od kreditnih institucija, osiguravajućih društava, ostalih financijskih institucija i trgovačkih društava u javnom sektoru</w:t>
            </w:r>
          </w:p>
        </w:tc>
        <w:tc>
          <w:tcPr>
            <w:tcW w:w="2919" w:type="dxa"/>
            <w:tcBorders>
              <w:top w:val="nil"/>
              <w:left w:val="nil"/>
              <w:bottom w:val="single" w:sz="4" w:space="0" w:color="C0C0C0"/>
              <w:right w:val="single" w:sz="4" w:space="0" w:color="000080"/>
            </w:tcBorders>
            <w:shd w:val="clear" w:color="auto" w:fill="auto"/>
            <w:vAlign w:val="center"/>
            <w:hideMark/>
          </w:tcPr>
          <w:p w14:paraId="68658B62" w14:textId="77777777" w:rsidR="00A920E6" w:rsidRPr="00A920E6" w:rsidRDefault="00A920E6" w:rsidP="00A920E6">
            <w:pPr>
              <w:rPr>
                <w:rFonts w:ascii="Arial" w:hAnsi="Arial" w:cs="Arial"/>
                <w:b/>
                <w:bCs/>
                <w:sz w:val="18"/>
                <w:szCs w:val="18"/>
              </w:rPr>
            </w:pPr>
            <w:r w:rsidRPr="00A920E6">
              <w:rPr>
                <w:rFonts w:ascii="Arial" w:hAnsi="Arial" w:cs="Arial"/>
                <w:b/>
                <w:bCs/>
                <w:sz w:val="18"/>
                <w:szCs w:val="18"/>
              </w:rPr>
              <w:t>26224,26233,26244,26314</w:t>
            </w:r>
          </w:p>
        </w:tc>
        <w:tc>
          <w:tcPr>
            <w:tcW w:w="1462" w:type="dxa"/>
            <w:tcBorders>
              <w:top w:val="nil"/>
              <w:left w:val="nil"/>
              <w:bottom w:val="single" w:sz="4" w:space="0" w:color="C0C0C0"/>
              <w:right w:val="single" w:sz="4" w:space="0" w:color="000000"/>
            </w:tcBorders>
            <w:shd w:val="clear" w:color="auto" w:fill="auto"/>
            <w:noWrap/>
            <w:vAlign w:val="center"/>
            <w:hideMark/>
          </w:tcPr>
          <w:p w14:paraId="1AA115A1"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0,00</w:t>
            </w:r>
          </w:p>
        </w:tc>
        <w:tc>
          <w:tcPr>
            <w:tcW w:w="1462" w:type="dxa"/>
            <w:tcBorders>
              <w:top w:val="single" w:sz="4" w:space="0" w:color="000000"/>
              <w:left w:val="single" w:sz="4" w:space="0" w:color="000080"/>
              <w:bottom w:val="single" w:sz="4" w:space="0" w:color="C0C0C0"/>
              <w:right w:val="single" w:sz="4" w:space="0" w:color="000000"/>
            </w:tcBorders>
            <w:shd w:val="clear" w:color="auto" w:fill="auto"/>
            <w:noWrap/>
            <w:vAlign w:val="center"/>
            <w:hideMark/>
          </w:tcPr>
          <w:p w14:paraId="30C791F6"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 </w:t>
            </w:r>
          </w:p>
        </w:tc>
        <w:tc>
          <w:tcPr>
            <w:tcW w:w="1574" w:type="dxa"/>
            <w:tcBorders>
              <w:top w:val="single" w:sz="4" w:space="0" w:color="C0C0C0"/>
              <w:left w:val="single" w:sz="4" w:space="0" w:color="000080"/>
              <w:bottom w:val="single" w:sz="4" w:space="0" w:color="C0C0C0"/>
              <w:right w:val="single" w:sz="4" w:space="0" w:color="000000"/>
            </w:tcBorders>
            <w:shd w:val="clear" w:color="auto" w:fill="auto"/>
            <w:noWrap/>
            <w:vAlign w:val="center"/>
            <w:hideMark/>
          </w:tcPr>
          <w:p w14:paraId="7337675A"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w:t>
            </w:r>
          </w:p>
        </w:tc>
      </w:tr>
      <w:tr w:rsidR="00A920E6" w:rsidRPr="00A920E6" w14:paraId="64648577"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1565BAE6" w14:textId="77777777" w:rsidR="00A920E6" w:rsidRPr="00A920E6" w:rsidRDefault="00A920E6" w:rsidP="00A920E6">
            <w:pPr>
              <w:rPr>
                <w:rFonts w:ascii="Arial" w:hAnsi="Arial" w:cs="Arial"/>
                <w:sz w:val="18"/>
                <w:szCs w:val="18"/>
              </w:rPr>
            </w:pPr>
            <w:r w:rsidRPr="00A920E6">
              <w:rPr>
                <w:rFonts w:ascii="Arial" w:hAnsi="Arial" w:cs="Arial"/>
                <w:sz w:val="18"/>
                <w:szCs w:val="18"/>
              </w:rPr>
              <w:t>26243</w:t>
            </w:r>
          </w:p>
        </w:tc>
        <w:tc>
          <w:tcPr>
            <w:tcW w:w="5157" w:type="dxa"/>
            <w:tcBorders>
              <w:top w:val="nil"/>
              <w:left w:val="nil"/>
              <w:bottom w:val="single" w:sz="4" w:space="0" w:color="C0C0C0"/>
              <w:right w:val="single" w:sz="4" w:space="0" w:color="000080"/>
            </w:tcBorders>
            <w:shd w:val="clear" w:color="auto" w:fill="auto"/>
            <w:vAlign w:val="center"/>
            <w:hideMark/>
          </w:tcPr>
          <w:p w14:paraId="7ABFC126" w14:textId="77777777" w:rsidR="00A920E6" w:rsidRPr="00A920E6" w:rsidRDefault="00A920E6" w:rsidP="00A920E6">
            <w:pPr>
              <w:rPr>
                <w:rFonts w:ascii="Arial" w:hAnsi="Arial" w:cs="Arial"/>
                <w:sz w:val="18"/>
                <w:szCs w:val="18"/>
              </w:rPr>
            </w:pPr>
            <w:r w:rsidRPr="00A920E6">
              <w:rPr>
                <w:rFonts w:ascii="Arial" w:hAnsi="Arial" w:cs="Arial"/>
                <w:sz w:val="18"/>
                <w:szCs w:val="18"/>
              </w:rPr>
              <w:t>Obveze za financijski najam od ostalih financijskih institucija u javnom sektoru</w:t>
            </w:r>
          </w:p>
        </w:tc>
        <w:tc>
          <w:tcPr>
            <w:tcW w:w="2919" w:type="dxa"/>
            <w:tcBorders>
              <w:top w:val="nil"/>
              <w:left w:val="nil"/>
              <w:bottom w:val="single" w:sz="4" w:space="0" w:color="C0C0C0"/>
              <w:right w:val="single" w:sz="4" w:space="0" w:color="000080"/>
            </w:tcBorders>
            <w:shd w:val="clear" w:color="auto" w:fill="auto"/>
            <w:vAlign w:val="center"/>
            <w:hideMark/>
          </w:tcPr>
          <w:p w14:paraId="2961C678" w14:textId="77777777" w:rsidR="00A920E6" w:rsidRPr="00A920E6" w:rsidRDefault="00A920E6" w:rsidP="00A920E6">
            <w:pPr>
              <w:rPr>
                <w:rFonts w:ascii="Arial" w:hAnsi="Arial" w:cs="Arial"/>
                <w:b/>
                <w:bCs/>
                <w:sz w:val="18"/>
                <w:szCs w:val="18"/>
              </w:rPr>
            </w:pPr>
            <w:r w:rsidRPr="00A920E6">
              <w:rPr>
                <w:rFonts w:ascii="Arial" w:hAnsi="Arial" w:cs="Arial"/>
                <w:b/>
                <w:bCs/>
                <w:sz w:val="18"/>
                <w:szCs w:val="18"/>
              </w:rPr>
              <w:t>26243</w:t>
            </w:r>
          </w:p>
        </w:tc>
        <w:tc>
          <w:tcPr>
            <w:tcW w:w="1462" w:type="dxa"/>
            <w:tcBorders>
              <w:top w:val="nil"/>
              <w:left w:val="nil"/>
              <w:bottom w:val="single" w:sz="4" w:space="0" w:color="C0C0C0"/>
              <w:right w:val="single" w:sz="4" w:space="0" w:color="000000"/>
            </w:tcBorders>
            <w:shd w:val="clear" w:color="auto" w:fill="auto"/>
            <w:noWrap/>
            <w:vAlign w:val="center"/>
            <w:hideMark/>
          </w:tcPr>
          <w:p w14:paraId="2707A038"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0,00</w:t>
            </w:r>
          </w:p>
        </w:tc>
        <w:tc>
          <w:tcPr>
            <w:tcW w:w="1462" w:type="dxa"/>
            <w:tcBorders>
              <w:top w:val="nil"/>
              <w:left w:val="single" w:sz="4" w:space="0" w:color="000080"/>
              <w:bottom w:val="single" w:sz="4" w:space="0" w:color="C0C0C0"/>
              <w:right w:val="single" w:sz="4" w:space="0" w:color="000000"/>
            </w:tcBorders>
            <w:shd w:val="clear" w:color="auto" w:fill="auto"/>
            <w:noWrap/>
            <w:vAlign w:val="center"/>
            <w:hideMark/>
          </w:tcPr>
          <w:p w14:paraId="6A9A47C7"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 </w:t>
            </w:r>
          </w:p>
        </w:tc>
        <w:tc>
          <w:tcPr>
            <w:tcW w:w="1574" w:type="dxa"/>
            <w:tcBorders>
              <w:top w:val="nil"/>
              <w:left w:val="single" w:sz="4" w:space="0" w:color="000080"/>
              <w:bottom w:val="single" w:sz="4" w:space="0" w:color="C0C0C0"/>
              <w:right w:val="single" w:sz="4" w:space="0" w:color="000000"/>
            </w:tcBorders>
            <w:shd w:val="clear" w:color="auto" w:fill="auto"/>
            <w:noWrap/>
            <w:vAlign w:val="center"/>
            <w:hideMark/>
          </w:tcPr>
          <w:p w14:paraId="3BC0896A"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w:t>
            </w:r>
          </w:p>
        </w:tc>
      </w:tr>
      <w:tr w:rsidR="00A920E6" w:rsidRPr="00A920E6" w14:paraId="27F7677B"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7F611DE3" w14:textId="77777777" w:rsidR="00A920E6" w:rsidRPr="00A920E6" w:rsidRDefault="00A920E6" w:rsidP="00A920E6">
            <w:pPr>
              <w:rPr>
                <w:rFonts w:ascii="Arial" w:hAnsi="Arial" w:cs="Arial"/>
                <w:sz w:val="18"/>
                <w:szCs w:val="18"/>
              </w:rPr>
            </w:pPr>
            <w:r w:rsidRPr="00A920E6">
              <w:rPr>
                <w:rFonts w:ascii="Arial" w:hAnsi="Arial" w:cs="Arial"/>
                <w:sz w:val="18"/>
                <w:szCs w:val="18"/>
              </w:rPr>
              <w:t>26453</w:t>
            </w:r>
          </w:p>
        </w:tc>
        <w:tc>
          <w:tcPr>
            <w:tcW w:w="5157" w:type="dxa"/>
            <w:tcBorders>
              <w:top w:val="nil"/>
              <w:left w:val="nil"/>
              <w:bottom w:val="single" w:sz="4" w:space="0" w:color="C0C0C0"/>
              <w:right w:val="single" w:sz="4" w:space="0" w:color="000080"/>
            </w:tcBorders>
            <w:shd w:val="clear" w:color="auto" w:fill="auto"/>
            <w:vAlign w:val="center"/>
            <w:hideMark/>
          </w:tcPr>
          <w:p w14:paraId="4BC490BD" w14:textId="77777777" w:rsidR="00A920E6" w:rsidRPr="00A920E6" w:rsidRDefault="00A920E6" w:rsidP="00A920E6">
            <w:pPr>
              <w:rPr>
                <w:rFonts w:ascii="Arial" w:hAnsi="Arial" w:cs="Arial"/>
                <w:sz w:val="18"/>
                <w:szCs w:val="18"/>
              </w:rPr>
            </w:pPr>
            <w:r w:rsidRPr="00A920E6">
              <w:rPr>
                <w:rFonts w:ascii="Arial" w:hAnsi="Arial" w:cs="Arial"/>
                <w:sz w:val="18"/>
                <w:szCs w:val="18"/>
              </w:rPr>
              <w:t>Obveze za financijski najam od ostalih tuzemnih financijskih institucija izvan javnog sektora</w:t>
            </w:r>
          </w:p>
        </w:tc>
        <w:tc>
          <w:tcPr>
            <w:tcW w:w="2919" w:type="dxa"/>
            <w:tcBorders>
              <w:top w:val="nil"/>
              <w:left w:val="nil"/>
              <w:bottom w:val="single" w:sz="4" w:space="0" w:color="C0C0C0"/>
              <w:right w:val="single" w:sz="4" w:space="0" w:color="000080"/>
            </w:tcBorders>
            <w:shd w:val="clear" w:color="auto" w:fill="auto"/>
            <w:vAlign w:val="center"/>
            <w:hideMark/>
          </w:tcPr>
          <w:p w14:paraId="4EF1857D" w14:textId="77777777" w:rsidR="00A920E6" w:rsidRPr="00A920E6" w:rsidRDefault="00A920E6" w:rsidP="00A920E6">
            <w:pPr>
              <w:rPr>
                <w:rFonts w:ascii="Arial" w:hAnsi="Arial" w:cs="Arial"/>
                <w:b/>
                <w:bCs/>
                <w:sz w:val="18"/>
                <w:szCs w:val="18"/>
              </w:rPr>
            </w:pPr>
            <w:r w:rsidRPr="00A920E6">
              <w:rPr>
                <w:rFonts w:ascii="Arial" w:hAnsi="Arial" w:cs="Arial"/>
                <w:b/>
                <w:bCs/>
                <w:sz w:val="18"/>
                <w:szCs w:val="18"/>
              </w:rPr>
              <w:t>26453</w:t>
            </w:r>
          </w:p>
        </w:tc>
        <w:tc>
          <w:tcPr>
            <w:tcW w:w="1462" w:type="dxa"/>
            <w:tcBorders>
              <w:top w:val="nil"/>
              <w:left w:val="nil"/>
              <w:bottom w:val="single" w:sz="4" w:space="0" w:color="C0C0C0"/>
              <w:right w:val="single" w:sz="4" w:space="0" w:color="000000"/>
            </w:tcBorders>
            <w:shd w:val="clear" w:color="auto" w:fill="auto"/>
            <w:noWrap/>
            <w:vAlign w:val="center"/>
            <w:hideMark/>
          </w:tcPr>
          <w:p w14:paraId="229AFCA8"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0,00</w:t>
            </w:r>
          </w:p>
        </w:tc>
        <w:tc>
          <w:tcPr>
            <w:tcW w:w="1462" w:type="dxa"/>
            <w:tcBorders>
              <w:top w:val="nil"/>
              <w:left w:val="single" w:sz="4" w:space="0" w:color="000080"/>
              <w:bottom w:val="single" w:sz="4" w:space="0" w:color="C0C0C0"/>
              <w:right w:val="single" w:sz="4" w:space="0" w:color="000000"/>
            </w:tcBorders>
            <w:shd w:val="clear" w:color="auto" w:fill="auto"/>
            <w:noWrap/>
            <w:vAlign w:val="center"/>
            <w:hideMark/>
          </w:tcPr>
          <w:p w14:paraId="2EDB7041"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 </w:t>
            </w:r>
          </w:p>
        </w:tc>
        <w:tc>
          <w:tcPr>
            <w:tcW w:w="1574" w:type="dxa"/>
            <w:tcBorders>
              <w:top w:val="nil"/>
              <w:left w:val="single" w:sz="4" w:space="0" w:color="000080"/>
              <w:bottom w:val="single" w:sz="4" w:space="0" w:color="C0C0C0"/>
              <w:right w:val="single" w:sz="4" w:space="0" w:color="000000"/>
            </w:tcBorders>
            <w:shd w:val="clear" w:color="auto" w:fill="auto"/>
            <w:noWrap/>
            <w:vAlign w:val="center"/>
            <w:hideMark/>
          </w:tcPr>
          <w:p w14:paraId="336E426F"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w:t>
            </w:r>
          </w:p>
        </w:tc>
      </w:tr>
      <w:tr w:rsidR="00A920E6" w:rsidRPr="00A920E6" w14:paraId="55B36FEC" w14:textId="77777777" w:rsidTr="00145A75">
        <w:trPr>
          <w:trHeight w:val="48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59499447" w14:textId="77777777" w:rsidR="00A920E6" w:rsidRPr="00A920E6" w:rsidRDefault="00A920E6" w:rsidP="00A920E6">
            <w:pPr>
              <w:rPr>
                <w:rFonts w:ascii="Arial" w:hAnsi="Arial" w:cs="Arial"/>
                <w:sz w:val="18"/>
                <w:szCs w:val="18"/>
              </w:rPr>
            </w:pPr>
            <w:r w:rsidRPr="00A920E6">
              <w:rPr>
                <w:rFonts w:ascii="Arial" w:hAnsi="Arial" w:cs="Arial"/>
                <w:sz w:val="18"/>
                <w:szCs w:val="18"/>
              </w:rPr>
              <w:t>26454</w:t>
            </w:r>
          </w:p>
        </w:tc>
        <w:tc>
          <w:tcPr>
            <w:tcW w:w="5157" w:type="dxa"/>
            <w:tcBorders>
              <w:top w:val="nil"/>
              <w:left w:val="nil"/>
              <w:bottom w:val="single" w:sz="4" w:space="0" w:color="C0C0C0"/>
              <w:right w:val="single" w:sz="4" w:space="0" w:color="000080"/>
            </w:tcBorders>
            <w:shd w:val="clear" w:color="auto" w:fill="auto"/>
            <w:vAlign w:val="center"/>
            <w:hideMark/>
          </w:tcPr>
          <w:p w14:paraId="76CA4347" w14:textId="77777777" w:rsidR="00A920E6" w:rsidRPr="00A920E6" w:rsidRDefault="00A920E6" w:rsidP="00A920E6">
            <w:pPr>
              <w:rPr>
                <w:rFonts w:ascii="Arial" w:hAnsi="Arial" w:cs="Arial"/>
                <w:sz w:val="18"/>
                <w:szCs w:val="18"/>
              </w:rPr>
            </w:pPr>
            <w:r w:rsidRPr="00A920E6">
              <w:rPr>
                <w:rFonts w:ascii="Arial" w:hAnsi="Arial" w:cs="Arial"/>
                <w:sz w:val="18"/>
                <w:szCs w:val="18"/>
              </w:rPr>
              <w:t xml:space="preserve">Obveze za zajmove po </w:t>
            </w:r>
            <w:proofErr w:type="spellStart"/>
            <w:r w:rsidRPr="00A920E6">
              <w:rPr>
                <w:rFonts w:ascii="Arial" w:hAnsi="Arial" w:cs="Arial"/>
                <w:sz w:val="18"/>
                <w:szCs w:val="18"/>
              </w:rPr>
              <w:t>faktoringu</w:t>
            </w:r>
            <w:proofErr w:type="spellEnd"/>
            <w:r w:rsidRPr="00A920E6">
              <w:rPr>
                <w:rFonts w:ascii="Arial" w:hAnsi="Arial" w:cs="Arial"/>
                <w:sz w:val="18"/>
                <w:szCs w:val="18"/>
              </w:rPr>
              <w:t xml:space="preserve"> od ostalih tuzemnih financijskih institucija izvan javnog sektora</w:t>
            </w:r>
          </w:p>
        </w:tc>
        <w:tc>
          <w:tcPr>
            <w:tcW w:w="2919" w:type="dxa"/>
            <w:tcBorders>
              <w:top w:val="nil"/>
              <w:left w:val="nil"/>
              <w:bottom w:val="single" w:sz="4" w:space="0" w:color="C0C0C0"/>
              <w:right w:val="single" w:sz="4" w:space="0" w:color="000080"/>
            </w:tcBorders>
            <w:shd w:val="clear" w:color="auto" w:fill="auto"/>
            <w:vAlign w:val="center"/>
            <w:hideMark/>
          </w:tcPr>
          <w:p w14:paraId="4883F2AE" w14:textId="77777777" w:rsidR="00A920E6" w:rsidRPr="00A920E6" w:rsidRDefault="00A920E6" w:rsidP="00A920E6">
            <w:pPr>
              <w:rPr>
                <w:rFonts w:ascii="Arial" w:hAnsi="Arial" w:cs="Arial"/>
                <w:b/>
                <w:bCs/>
                <w:sz w:val="18"/>
                <w:szCs w:val="18"/>
              </w:rPr>
            </w:pPr>
            <w:r w:rsidRPr="00A920E6">
              <w:rPr>
                <w:rFonts w:ascii="Arial" w:hAnsi="Arial" w:cs="Arial"/>
                <w:b/>
                <w:bCs/>
                <w:sz w:val="18"/>
                <w:szCs w:val="18"/>
              </w:rPr>
              <w:t>26454</w:t>
            </w:r>
          </w:p>
        </w:tc>
        <w:tc>
          <w:tcPr>
            <w:tcW w:w="1462" w:type="dxa"/>
            <w:tcBorders>
              <w:top w:val="nil"/>
              <w:left w:val="nil"/>
              <w:bottom w:val="single" w:sz="4" w:space="0" w:color="C0C0C0"/>
              <w:right w:val="single" w:sz="4" w:space="0" w:color="000000"/>
            </w:tcBorders>
            <w:shd w:val="clear" w:color="auto" w:fill="auto"/>
            <w:noWrap/>
            <w:vAlign w:val="center"/>
            <w:hideMark/>
          </w:tcPr>
          <w:p w14:paraId="0901C8AB"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0,00</w:t>
            </w:r>
          </w:p>
        </w:tc>
        <w:tc>
          <w:tcPr>
            <w:tcW w:w="1462" w:type="dxa"/>
            <w:tcBorders>
              <w:top w:val="nil"/>
              <w:left w:val="single" w:sz="4" w:space="0" w:color="000080"/>
              <w:bottom w:val="single" w:sz="4" w:space="0" w:color="C0C0C0"/>
              <w:right w:val="single" w:sz="4" w:space="0" w:color="000000"/>
            </w:tcBorders>
            <w:shd w:val="clear" w:color="auto" w:fill="auto"/>
            <w:noWrap/>
            <w:vAlign w:val="center"/>
            <w:hideMark/>
          </w:tcPr>
          <w:p w14:paraId="247BF83A"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 </w:t>
            </w:r>
          </w:p>
        </w:tc>
        <w:tc>
          <w:tcPr>
            <w:tcW w:w="1574" w:type="dxa"/>
            <w:tcBorders>
              <w:top w:val="nil"/>
              <w:left w:val="single" w:sz="4" w:space="0" w:color="000080"/>
              <w:bottom w:val="single" w:sz="4" w:space="0" w:color="C0C0C0"/>
              <w:right w:val="single" w:sz="4" w:space="0" w:color="000000"/>
            </w:tcBorders>
            <w:shd w:val="clear" w:color="auto" w:fill="auto"/>
            <w:noWrap/>
            <w:vAlign w:val="center"/>
            <w:hideMark/>
          </w:tcPr>
          <w:p w14:paraId="42EE9413"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w:t>
            </w:r>
          </w:p>
        </w:tc>
      </w:tr>
      <w:tr w:rsidR="00A920E6" w:rsidRPr="00A920E6" w14:paraId="61BDF4DC"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5FD99476" w14:textId="77777777" w:rsidR="00A920E6" w:rsidRPr="00A920E6" w:rsidRDefault="00A920E6" w:rsidP="00A920E6">
            <w:pPr>
              <w:rPr>
                <w:rFonts w:ascii="Arial" w:hAnsi="Arial" w:cs="Arial"/>
                <w:sz w:val="18"/>
                <w:szCs w:val="18"/>
              </w:rPr>
            </w:pPr>
            <w:r w:rsidRPr="00A920E6">
              <w:rPr>
                <w:rFonts w:ascii="Arial" w:hAnsi="Arial" w:cs="Arial"/>
                <w:sz w:val="18"/>
                <w:szCs w:val="18"/>
              </w:rPr>
              <w:t>26463</w:t>
            </w:r>
          </w:p>
        </w:tc>
        <w:tc>
          <w:tcPr>
            <w:tcW w:w="5157" w:type="dxa"/>
            <w:tcBorders>
              <w:top w:val="nil"/>
              <w:left w:val="nil"/>
              <w:bottom w:val="single" w:sz="4" w:space="0" w:color="C0C0C0"/>
              <w:right w:val="single" w:sz="4" w:space="0" w:color="000080"/>
            </w:tcBorders>
            <w:shd w:val="clear" w:color="auto" w:fill="auto"/>
            <w:vAlign w:val="center"/>
            <w:hideMark/>
          </w:tcPr>
          <w:p w14:paraId="39216A01" w14:textId="77777777" w:rsidR="00A920E6" w:rsidRPr="00A920E6" w:rsidRDefault="00A920E6" w:rsidP="00A920E6">
            <w:pPr>
              <w:rPr>
                <w:rFonts w:ascii="Arial" w:hAnsi="Arial" w:cs="Arial"/>
                <w:sz w:val="18"/>
                <w:szCs w:val="18"/>
              </w:rPr>
            </w:pPr>
            <w:r w:rsidRPr="00A920E6">
              <w:rPr>
                <w:rFonts w:ascii="Arial" w:hAnsi="Arial" w:cs="Arial"/>
                <w:sz w:val="18"/>
                <w:szCs w:val="18"/>
              </w:rPr>
              <w:t>Obveze za financijski najam od inozemnih kreditnih institucija</w:t>
            </w:r>
          </w:p>
        </w:tc>
        <w:tc>
          <w:tcPr>
            <w:tcW w:w="2919" w:type="dxa"/>
            <w:tcBorders>
              <w:top w:val="nil"/>
              <w:left w:val="nil"/>
              <w:bottom w:val="single" w:sz="4" w:space="0" w:color="C0C0C0"/>
              <w:right w:val="single" w:sz="4" w:space="0" w:color="000080"/>
            </w:tcBorders>
            <w:shd w:val="clear" w:color="auto" w:fill="auto"/>
            <w:vAlign w:val="center"/>
            <w:hideMark/>
          </w:tcPr>
          <w:p w14:paraId="51EC7ADC" w14:textId="77777777" w:rsidR="00A920E6" w:rsidRPr="00A920E6" w:rsidRDefault="00A920E6" w:rsidP="00A920E6">
            <w:pPr>
              <w:rPr>
                <w:rFonts w:ascii="Arial" w:hAnsi="Arial" w:cs="Arial"/>
                <w:b/>
                <w:bCs/>
                <w:sz w:val="18"/>
                <w:szCs w:val="18"/>
              </w:rPr>
            </w:pPr>
            <w:r w:rsidRPr="00A920E6">
              <w:rPr>
                <w:rFonts w:ascii="Arial" w:hAnsi="Arial" w:cs="Arial"/>
                <w:b/>
                <w:bCs/>
                <w:sz w:val="18"/>
                <w:szCs w:val="18"/>
              </w:rPr>
              <w:t>26463</w:t>
            </w:r>
          </w:p>
        </w:tc>
        <w:tc>
          <w:tcPr>
            <w:tcW w:w="1462" w:type="dxa"/>
            <w:tcBorders>
              <w:top w:val="nil"/>
              <w:left w:val="nil"/>
              <w:bottom w:val="single" w:sz="4" w:space="0" w:color="C0C0C0"/>
              <w:right w:val="single" w:sz="4" w:space="0" w:color="000000"/>
            </w:tcBorders>
            <w:shd w:val="clear" w:color="auto" w:fill="auto"/>
            <w:noWrap/>
            <w:vAlign w:val="center"/>
            <w:hideMark/>
          </w:tcPr>
          <w:p w14:paraId="7832233C"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0,00</w:t>
            </w:r>
          </w:p>
        </w:tc>
        <w:tc>
          <w:tcPr>
            <w:tcW w:w="1462" w:type="dxa"/>
            <w:tcBorders>
              <w:top w:val="nil"/>
              <w:left w:val="single" w:sz="4" w:space="0" w:color="000080"/>
              <w:bottom w:val="single" w:sz="4" w:space="0" w:color="C0C0C0"/>
              <w:right w:val="single" w:sz="4" w:space="0" w:color="000000"/>
            </w:tcBorders>
            <w:shd w:val="clear" w:color="auto" w:fill="auto"/>
            <w:noWrap/>
            <w:vAlign w:val="center"/>
            <w:hideMark/>
          </w:tcPr>
          <w:p w14:paraId="367EA26B"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 </w:t>
            </w:r>
          </w:p>
        </w:tc>
        <w:tc>
          <w:tcPr>
            <w:tcW w:w="1574" w:type="dxa"/>
            <w:tcBorders>
              <w:top w:val="nil"/>
              <w:left w:val="single" w:sz="4" w:space="0" w:color="000080"/>
              <w:bottom w:val="single" w:sz="4" w:space="0" w:color="C0C0C0"/>
              <w:right w:val="single" w:sz="4" w:space="0" w:color="000000"/>
            </w:tcBorders>
            <w:shd w:val="clear" w:color="auto" w:fill="auto"/>
            <w:noWrap/>
            <w:vAlign w:val="center"/>
            <w:hideMark/>
          </w:tcPr>
          <w:p w14:paraId="3329B2D2"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w:t>
            </w:r>
          </w:p>
        </w:tc>
      </w:tr>
      <w:tr w:rsidR="00A920E6" w:rsidRPr="00A920E6" w14:paraId="67E38592" w14:textId="77777777" w:rsidTr="00145A75">
        <w:trPr>
          <w:trHeight w:val="720"/>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4F677C34" w14:textId="77777777" w:rsidR="00A920E6" w:rsidRPr="00A920E6" w:rsidRDefault="00A920E6" w:rsidP="00A920E6">
            <w:pPr>
              <w:rPr>
                <w:rFonts w:ascii="Arial" w:hAnsi="Arial" w:cs="Arial"/>
                <w:sz w:val="18"/>
                <w:szCs w:val="18"/>
              </w:rPr>
            </w:pPr>
            <w:r w:rsidRPr="00A920E6">
              <w:rPr>
                <w:rFonts w:ascii="Arial" w:hAnsi="Arial" w:cs="Arial"/>
                <w:sz w:val="18"/>
                <w:szCs w:val="18"/>
              </w:rPr>
              <w:t>26464,26473, 26484,26554, 26564</w:t>
            </w:r>
          </w:p>
        </w:tc>
        <w:tc>
          <w:tcPr>
            <w:tcW w:w="5157" w:type="dxa"/>
            <w:tcBorders>
              <w:top w:val="nil"/>
              <w:left w:val="nil"/>
              <w:bottom w:val="single" w:sz="4" w:space="0" w:color="C0C0C0"/>
              <w:right w:val="single" w:sz="4" w:space="0" w:color="000080"/>
            </w:tcBorders>
            <w:shd w:val="clear" w:color="auto" w:fill="auto"/>
            <w:vAlign w:val="center"/>
            <w:hideMark/>
          </w:tcPr>
          <w:p w14:paraId="5014C064" w14:textId="77777777" w:rsidR="00A920E6" w:rsidRPr="00A920E6" w:rsidRDefault="00A920E6" w:rsidP="00A920E6">
            <w:pPr>
              <w:rPr>
                <w:rFonts w:ascii="Arial" w:hAnsi="Arial" w:cs="Arial"/>
                <w:sz w:val="18"/>
                <w:szCs w:val="18"/>
              </w:rPr>
            </w:pPr>
            <w:r w:rsidRPr="00A920E6">
              <w:rPr>
                <w:rFonts w:ascii="Arial" w:hAnsi="Arial" w:cs="Arial"/>
                <w:sz w:val="18"/>
                <w:szCs w:val="18"/>
              </w:rPr>
              <w:t xml:space="preserve">Obveze za zajmove po </w:t>
            </w:r>
            <w:proofErr w:type="spellStart"/>
            <w:r w:rsidRPr="00A920E6">
              <w:rPr>
                <w:rFonts w:ascii="Arial" w:hAnsi="Arial" w:cs="Arial"/>
                <w:sz w:val="18"/>
                <w:szCs w:val="18"/>
              </w:rPr>
              <w:t>faktoringu</w:t>
            </w:r>
            <w:proofErr w:type="spellEnd"/>
            <w:r w:rsidRPr="00A920E6">
              <w:rPr>
                <w:rFonts w:ascii="Arial" w:hAnsi="Arial" w:cs="Arial"/>
                <w:sz w:val="18"/>
                <w:szCs w:val="18"/>
              </w:rPr>
              <w:t xml:space="preserve"> od inozemnih kreditnih institucija, inozemnih osiguravajućih društava, ostalih inozemnih financijskih institucija, inozemnih trgovačkih društava i inozemnih obrtnika</w:t>
            </w:r>
          </w:p>
        </w:tc>
        <w:tc>
          <w:tcPr>
            <w:tcW w:w="2919" w:type="dxa"/>
            <w:tcBorders>
              <w:top w:val="nil"/>
              <w:left w:val="nil"/>
              <w:bottom w:val="single" w:sz="4" w:space="0" w:color="C0C0C0"/>
              <w:right w:val="single" w:sz="4" w:space="0" w:color="000080"/>
            </w:tcBorders>
            <w:shd w:val="clear" w:color="auto" w:fill="auto"/>
            <w:vAlign w:val="center"/>
            <w:hideMark/>
          </w:tcPr>
          <w:p w14:paraId="47258C94" w14:textId="77777777" w:rsidR="00A920E6" w:rsidRPr="00A920E6" w:rsidRDefault="00A920E6" w:rsidP="00A920E6">
            <w:pPr>
              <w:rPr>
                <w:rFonts w:ascii="Arial" w:hAnsi="Arial" w:cs="Arial"/>
                <w:b/>
                <w:bCs/>
                <w:sz w:val="18"/>
                <w:szCs w:val="18"/>
              </w:rPr>
            </w:pPr>
            <w:r w:rsidRPr="00A920E6">
              <w:rPr>
                <w:rFonts w:ascii="Arial" w:hAnsi="Arial" w:cs="Arial"/>
                <w:b/>
                <w:bCs/>
                <w:sz w:val="18"/>
                <w:szCs w:val="18"/>
              </w:rPr>
              <w:t>26464,26473,26484,26554,26564</w:t>
            </w:r>
          </w:p>
        </w:tc>
        <w:tc>
          <w:tcPr>
            <w:tcW w:w="1462" w:type="dxa"/>
            <w:tcBorders>
              <w:top w:val="nil"/>
              <w:left w:val="nil"/>
              <w:bottom w:val="single" w:sz="4" w:space="0" w:color="C0C0C0"/>
              <w:right w:val="single" w:sz="4" w:space="0" w:color="000000"/>
            </w:tcBorders>
            <w:shd w:val="clear" w:color="auto" w:fill="auto"/>
            <w:noWrap/>
            <w:vAlign w:val="center"/>
            <w:hideMark/>
          </w:tcPr>
          <w:p w14:paraId="068ED1DA"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0,00</w:t>
            </w:r>
          </w:p>
        </w:tc>
        <w:tc>
          <w:tcPr>
            <w:tcW w:w="1462" w:type="dxa"/>
            <w:tcBorders>
              <w:top w:val="nil"/>
              <w:left w:val="single" w:sz="4" w:space="0" w:color="000080"/>
              <w:bottom w:val="single" w:sz="4" w:space="0" w:color="C0C0C0"/>
              <w:right w:val="single" w:sz="4" w:space="0" w:color="000000"/>
            </w:tcBorders>
            <w:shd w:val="clear" w:color="auto" w:fill="auto"/>
            <w:noWrap/>
            <w:vAlign w:val="center"/>
            <w:hideMark/>
          </w:tcPr>
          <w:p w14:paraId="301541A2"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 </w:t>
            </w:r>
          </w:p>
        </w:tc>
        <w:tc>
          <w:tcPr>
            <w:tcW w:w="1574" w:type="dxa"/>
            <w:tcBorders>
              <w:top w:val="nil"/>
              <w:left w:val="single" w:sz="4" w:space="0" w:color="000080"/>
              <w:bottom w:val="single" w:sz="4" w:space="0" w:color="C0C0C0"/>
              <w:right w:val="single" w:sz="4" w:space="0" w:color="000000"/>
            </w:tcBorders>
            <w:shd w:val="clear" w:color="auto" w:fill="auto"/>
            <w:noWrap/>
            <w:vAlign w:val="center"/>
            <w:hideMark/>
          </w:tcPr>
          <w:p w14:paraId="3A83A87D"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w:t>
            </w:r>
          </w:p>
        </w:tc>
      </w:tr>
      <w:tr w:rsidR="00A920E6" w:rsidRPr="00A920E6" w14:paraId="55C96007" w14:textId="77777777" w:rsidTr="00145A75">
        <w:trPr>
          <w:trHeight w:val="255"/>
        </w:trPr>
        <w:tc>
          <w:tcPr>
            <w:tcW w:w="1318" w:type="dxa"/>
            <w:tcBorders>
              <w:top w:val="nil"/>
              <w:left w:val="single" w:sz="4" w:space="0" w:color="000000"/>
              <w:bottom w:val="single" w:sz="4" w:space="0" w:color="C0C0C0"/>
              <w:right w:val="single" w:sz="4" w:space="0" w:color="000080"/>
            </w:tcBorders>
            <w:shd w:val="clear" w:color="auto" w:fill="auto"/>
            <w:vAlign w:val="center"/>
            <w:hideMark/>
          </w:tcPr>
          <w:p w14:paraId="1E881ACB" w14:textId="77777777" w:rsidR="00A920E6" w:rsidRPr="00A920E6" w:rsidRDefault="00A920E6" w:rsidP="00A920E6">
            <w:pPr>
              <w:rPr>
                <w:rFonts w:ascii="Arial" w:hAnsi="Arial" w:cs="Arial"/>
                <w:sz w:val="18"/>
                <w:szCs w:val="18"/>
              </w:rPr>
            </w:pPr>
            <w:r w:rsidRPr="00A920E6">
              <w:rPr>
                <w:rFonts w:ascii="Arial" w:hAnsi="Arial" w:cs="Arial"/>
                <w:sz w:val="18"/>
                <w:szCs w:val="18"/>
              </w:rPr>
              <w:t>26483</w:t>
            </w:r>
          </w:p>
        </w:tc>
        <w:tc>
          <w:tcPr>
            <w:tcW w:w="5157" w:type="dxa"/>
            <w:tcBorders>
              <w:top w:val="nil"/>
              <w:left w:val="nil"/>
              <w:bottom w:val="single" w:sz="4" w:space="0" w:color="C0C0C0"/>
              <w:right w:val="single" w:sz="4" w:space="0" w:color="000080"/>
            </w:tcBorders>
            <w:shd w:val="clear" w:color="auto" w:fill="auto"/>
            <w:vAlign w:val="center"/>
            <w:hideMark/>
          </w:tcPr>
          <w:p w14:paraId="66788EAC" w14:textId="77777777" w:rsidR="00A920E6" w:rsidRPr="00A920E6" w:rsidRDefault="00A920E6" w:rsidP="00A920E6">
            <w:pPr>
              <w:rPr>
                <w:rFonts w:ascii="Arial" w:hAnsi="Arial" w:cs="Arial"/>
                <w:sz w:val="18"/>
                <w:szCs w:val="18"/>
              </w:rPr>
            </w:pPr>
            <w:r w:rsidRPr="00A920E6">
              <w:rPr>
                <w:rFonts w:ascii="Arial" w:hAnsi="Arial" w:cs="Arial"/>
                <w:sz w:val="18"/>
                <w:szCs w:val="18"/>
              </w:rPr>
              <w:t>Obveze za financijski najam od ostalih inozemnih financijskih institucija</w:t>
            </w:r>
          </w:p>
        </w:tc>
        <w:tc>
          <w:tcPr>
            <w:tcW w:w="2919" w:type="dxa"/>
            <w:tcBorders>
              <w:top w:val="nil"/>
              <w:left w:val="nil"/>
              <w:bottom w:val="single" w:sz="4" w:space="0" w:color="C0C0C0"/>
              <w:right w:val="single" w:sz="4" w:space="0" w:color="000080"/>
            </w:tcBorders>
            <w:shd w:val="clear" w:color="auto" w:fill="auto"/>
            <w:vAlign w:val="center"/>
            <w:hideMark/>
          </w:tcPr>
          <w:p w14:paraId="3A064DC7" w14:textId="77777777" w:rsidR="00A920E6" w:rsidRPr="00A920E6" w:rsidRDefault="00A920E6" w:rsidP="00A920E6">
            <w:pPr>
              <w:rPr>
                <w:rFonts w:ascii="Arial" w:hAnsi="Arial" w:cs="Arial"/>
                <w:b/>
                <w:bCs/>
                <w:sz w:val="18"/>
                <w:szCs w:val="18"/>
              </w:rPr>
            </w:pPr>
            <w:r w:rsidRPr="00A920E6">
              <w:rPr>
                <w:rFonts w:ascii="Arial" w:hAnsi="Arial" w:cs="Arial"/>
                <w:b/>
                <w:bCs/>
                <w:sz w:val="18"/>
                <w:szCs w:val="18"/>
              </w:rPr>
              <w:t>26483</w:t>
            </w:r>
          </w:p>
        </w:tc>
        <w:tc>
          <w:tcPr>
            <w:tcW w:w="1462" w:type="dxa"/>
            <w:tcBorders>
              <w:top w:val="nil"/>
              <w:left w:val="nil"/>
              <w:bottom w:val="single" w:sz="4" w:space="0" w:color="C0C0C0"/>
              <w:right w:val="single" w:sz="4" w:space="0" w:color="000000"/>
            </w:tcBorders>
            <w:shd w:val="clear" w:color="auto" w:fill="auto"/>
            <w:noWrap/>
            <w:vAlign w:val="center"/>
            <w:hideMark/>
          </w:tcPr>
          <w:p w14:paraId="1EE29759"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0,00</w:t>
            </w:r>
          </w:p>
        </w:tc>
        <w:tc>
          <w:tcPr>
            <w:tcW w:w="1462" w:type="dxa"/>
            <w:tcBorders>
              <w:top w:val="nil"/>
              <w:left w:val="single" w:sz="4" w:space="0" w:color="000080"/>
              <w:bottom w:val="single" w:sz="4" w:space="0" w:color="C0C0C0"/>
              <w:right w:val="single" w:sz="4" w:space="0" w:color="000000"/>
            </w:tcBorders>
            <w:shd w:val="clear" w:color="auto" w:fill="auto"/>
            <w:noWrap/>
            <w:vAlign w:val="center"/>
            <w:hideMark/>
          </w:tcPr>
          <w:p w14:paraId="75D4F2D1"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 </w:t>
            </w:r>
          </w:p>
        </w:tc>
        <w:tc>
          <w:tcPr>
            <w:tcW w:w="1574" w:type="dxa"/>
            <w:tcBorders>
              <w:top w:val="nil"/>
              <w:left w:val="single" w:sz="4" w:space="0" w:color="000080"/>
              <w:bottom w:val="single" w:sz="4" w:space="0" w:color="C0C0C0"/>
              <w:right w:val="single" w:sz="4" w:space="0" w:color="000000"/>
            </w:tcBorders>
            <w:shd w:val="clear" w:color="auto" w:fill="auto"/>
            <w:noWrap/>
            <w:vAlign w:val="center"/>
            <w:hideMark/>
          </w:tcPr>
          <w:p w14:paraId="057432B1"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w:t>
            </w:r>
          </w:p>
        </w:tc>
      </w:tr>
      <w:tr w:rsidR="00A920E6" w:rsidRPr="00A920E6" w14:paraId="22AFFF94" w14:textId="77777777" w:rsidTr="00145A75">
        <w:trPr>
          <w:trHeight w:val="480"/>
        </w:trPr>
        <w:tc>
          <w:tcPr>
            <w:tcW w:w="1318" w:type="dxa"/>
            <w:tcBorders>
              <w:top w:val="nil"/>
              <w:left w:val="single" w:sz="4" w:space="0" w:color="000000"/>
              <w:bottom w:val="single" w:sz="4" w:space="0" w:color="000000"/>
              <w:right w:val="single" w:sz="4" w:space="0" w:color="000080"/>
            </w:tcBorders>
            <w:shd w:val="clear" w:color="auto" w:fill="auto"/>
            <w:vAlign w:val="center"/>
            <w:hideMark/>
          </w:tcPr>
          <w:p w14:paraId="2975E16F" w14:textId="77777777" w:rsidR="00A920E6" w:rsidRPr="00A920E6" w:rsidRDefault="00A920E6" w:rsidP="00A920E6">
            <w:pPr>
              <w:rPr>
                <w:rFonts w:ascii="Arial" w:hAnsi="Arial" w:cs="Arial"/>
                <w:sz w:val="18"/>
                <w:szCs w:val="18"/>
              </w:rPr>
            </w:pPr>
            <w:r w:rsidRPr="00A920E6">
              <w:rPr>
                <w:rFonts w:ascii="Arial" w:hAnsi="Arial" w:cs="Arial"/>
                <w:sz w:val="18"/>
                <w:szCs w:val="18"/>
              </w:rPr>
              <w:t>26534</w:t>
            </w:r>
          </w:p>
        </w:tc>
        <w:tc>
          <w:tcPr>
            <w:tcW w:w="5157" w:type="dxa"/>
            <w:tcBorders>
              <w:top w:val="nil"/>
              <w:left w:val="nil"/>
              <w:bottom w:val="single" w:sz="4" w:space="0" w:color="000000"/>
              <w:right w:val="single" w:sz="4" w:space="0" w:color="000080"/>
            </w:tcBorders>
            <w:shd w:val="clear" w:color="auto" w:fill="auto"/>
            <w:vAlign w:val="center"/>
            <w:hideMark/>
          </w:tcPr>
          <w:p w14:paraId="2A562097" w14:textId="77777777" w:rsidR="00A920E6" w:rsidRPr="00A920E6" w:rsidRDefault="00A920E6" w:rsidP="00A920E6">
            <w:pPr>
              <w:rPr>
                <w:rFonts w:ascii="Arial" w:hAnsi="Arial" w:cs="Arial"/>
                <w:sz w:val="18"/>
                <w:szCs w:val="18"/>
              </w:rPr>
            </w:pPr>
            <w:r w:rsidRPr="00A920E6">
              <w:rPr>
                <w:rFonts w:ascii="Arial" w:hAnsi="Arial" w:cs="Arial"/>
                <w:sz w:val="18"/>
                <w:szCs w:val="18"/>
              </w:rPr>
              <w:t xml:space="preserve">Obveze za zajmove po </w:t>
            </w:r>
            <w:proofErr w:type="spellStart"/>
            <w:r w:rsidRPr="00A920E6">
              <w:rPr>
                <w:rFonts w:ascii="Arial" w:hAnsi="Arial" w:cs="Arial"/>
                <w:sz w:val="18"/>
                <w:szCs w:val="18"/>
              </w:rPr>
              <w:t>faktoringu</w:t>
            </w:r>
            <w:proofErr w:type="spellEnd"/>
            <w:r w:rsidRPr="00A920E6">
              <w:rPr>
                <w:rFonts w:ascii="Arial" w:hAnsi="Arial" w:cs="Arial"/>
                <w:sz w:val="18"/>
                <w:szCs w:val="18"/>
              </w:rPr>
              <w:t xml:space="preserve"> od tuzemnih trgovačkih društava izvan javnog sektora</w:t>
            </w:r>
          </w:p>
        </w:tc>
        <w:tc>
          <w:tcPr>
            <w:tcW w:w="2919" w:type="dxa"/>
            <w:tcBorders>
              <w:top w:val="nil"/>
              <w:left w:val="nil"/>
              <w:bottom w:val="single" w:sz="4" w:space="0" w:color="000000"/>
              <w:right w:val="single" w:sz="4" w:space="0" w:color="000080"/>
            </w:tcBorders>
            <w:shd w:val="clear" w:color="auto" w:fill="auto"/>
            <w:vAlign w:val="center"/>
            <w:hideMark/>
          </w:tcPr>
          <w:p w14:paraId="452CFC59" w14:textId="77777777" w:rsidR="00A920E6" w:rsidRPr="00A920E6" w:rsidRDefault="00A920E6" w:rsidP="00A920E6">
            <w:pPr>
              <w:rPr>
                <w:rFonts w:ascii="Arial" w:hAnsi="Arial" w:cs="Arial"/>
                <w:b/>
                <w:bCs/>
                <w:sz w:val="18"/>
                <w:szCs w:val="18"/>
              </w:rPr>
            </w:pPr>
            <w:r w:rsidRPr="00A920E6">
              <w:rPr>
                <w:rFonts w:ascii="Arial" w:hAnsi="Arial" w:cs="Arial"/>
                <w:b/>
                <w:bCs/>
                <w:sz w:val="18"/>
                <w:szCs w:val="18"/>
              </w:rPr>
              <w:t>26534</w:t>
            </w:r>
          </w:p>
        </w:tc>
        <w:tc>
          <w:tcPr>
            <w:tcW w:w="1462" w:type="dxa"/>
            <w:tcBorders>
              <w:top w:val="nil"/>
              <w:left w:val="nil"/>
              <w:bottom w:val="single" w:sz="4" w:space="0" w:color="000000"/>
              <w:right w:val="single" w:sz="4" w:space="0" w:color="000000"/>
            </w:tcBorders>
            <w:shd w:val="clear" w:color="auto" w:fill="auto"/>
            <w:noWrap/>
            <w:vAlign w:val="center"/>
            <w:hideMark/>
          </w:tcPr>
          <w:p w14:paraId="69D9C4B6"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0,00</w:t>
            </w:r>
          </w:p>
        </w:tc>
        <w:tc>
          <w:tcPr>
            <w:tcW w:w="1462" w:type="dxa"/>
            <w:tcBorders>
              <w:top w:val="nil"/>
              <w:left w:val="single" w:sz="4" w:space="0" w:color="000080"/>
              <w:bottom w:val="single" w:sz="4" w:space="0" w:color="000000"/>
              <w:right w:val="single" w:sz="4" w:space="0" w:color="000000"/>
            </w:tcBorders>
            <w:shd w:val="clear" w:color="auto" w:fill="auto"/>
            <w:noWrap/>
            <w:vAlign w:val="center"/>
            <w:hideMark/>
          </w:tcPr>
          <w:p w14:paraId="625C66E9"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 </w:t>
            </w:r>
          </w:p>
        </w:tc>
        <w:tc>
          <w:tcPr>
            <w:tcW w:w="1574" w:type="dxa"/>
            <w:tcBorders>
              <w:top w:val="nil"/>
              <w:left w:val="single" w:sz="4" w:space="0" w:color="000080"/>
              <w:bottom w:val="single" w:sz="4" w:space="0" w:color="000000"/>
              <w:right w:val="single" w:sz="4" w:space="0" w:color="000000"/>
            </w:tcBorders>
            <w:shd w:val="clear" w:color="auto" w:fill="auto"/>
            <w:noWrap/>
            <w:vAlign w:val="center"/>
            <w:hideMark/>
          </w:tcPr>
          <w:p w14:paraId="0DE4EEF6" w14:textId="77777777" w:rsidR="00A920E6" w:rsidRPr="00A920E6" w:rsidRDefault="00A920E6" w:rsidP="00A920E6">
            <w:pPr>
              <w:jc w:val="right"/>
              <w:rPr>
                <w:rFonts w:ascii="Arial" w:hAnsi="Arial" w:cs="Arial"/>
                <w:sz w:val="16"/>
                <w:szCs w:val="16"/>
              </w:rPr>
            </w:pPr>
            <w:r w:rsidRPr="00A920E6">
              <w:rPr>
                <w:rFonts w:ascii="Arial" w:hAnsi="Arial" w:cs="Arial"/>
                <w:sz w:val="16"/>
                <w:szCs w:val="16"/>
              </w:rPr>
              <w:t>-</w:t>
            </w:r>
          </w:p>
        </w:tc>
      </w:tr>
    </w:tbl>
    <w:p w14:paraId="07C45CC2" w14:textId="38322F34" w:rsidR="00E80CD3" w:rsidRDefault="00E80CD3" w:rsidP="00EF490C">
      <w:pPr>
        <w:spacing w:after="160" w:line="259" w:lineRule="auto"/>
        <w:ind w:left="-142"/>
        <w:jc w:val="both"/>
        <w:rPr>
          <w:rFonts w:ascii="Calibri" w:hAnsi="Calibri"/>
          <w:sz w:val="22"/>
          <w:szCs w:val="22"/>
        </w:rPr>
      </w:pPr>
    </w:p>
    <w:p w14:paraId="7849AF2F" w14:textId="7B1895CA" w:rsidR="00E80CD3" w:rsidRDefault="00E80CD3" w:rsidP="00EF490C">
      <w:pPr>
        <w:spacing w:after="160" w:line="259" w:lineRule="auto"/>
        <w:ind w:left="-142"/>
        <w:jc w:val="both"/>
        <w:rPr>
          <w:rFonts w:ascii="Calibri" w:hAnsi="Calibri"/>
          <w:sz w:val="22"/>
          <w:szCs w:val="22"/>
        </w:rPr>
      </w:pPr>
    </w:p>
    <w:p w14:paraId="79376EE6" w14:textId="455D2095" w:rsidR="00E80CD3" w:rsidRDefault="00E80CD3" w:rsidP="00EF490C">
      <w:pPr>
        <w:spacing w:after="160" w:line="259" w:lineRule="auto"/>
        <w:ind w:left="-142"/>
        <w:jc w:val="both"/>
        <w:rPr>
          <w:rFonts w:ascii="Calibri" w:hAnsi="Calibri"/>
          <w:sz w:val="22"/>
          <w:szCs w:val="22"/>
        </w:rPr>
      </w:pPr>
    </w:p>
    <w:p w14:paraId="20B7D0BE" w14:textId="101F6F24" w:rsidR="00E80CD3" w:rsidRDefault="00E80CD3" w:rsidP="00EF490C">
      <w:pPr>
        <w:spacing w:after="160" w:line="259" w:lineRule="auto"/>
        <w:ind w:left="-142"/>
        <w:jc w:val="both"/>
        <w:rPr>
          <w:rFonts w:ascii="Calibri" w:hAnsi="Calibri"/>
          <w:sz w:val="22"/>
          <w:szCs w:val="22"/>
        </w:rPr>
      </w:pPr>
    </w:p>
    <w:tbl>
      <w:tblPr>
        <w:tblW w:w="14364" w:type="dxa"/>
        <w:tblLook w:val="04A0" w:firstRow="1" w:lastRow="0" w:firstColumn="1" w:lastColumn="0" w:noHBand="0" w:noVBand="1"/>
      </w:tblPr>
      <w:tblGrid>
        <w:gridCol w:w="971"/>
        <w:gridCol w:w="8766"/>
        <w:gridCol w:w="717"/>
        <w:gridCol w:w="1481"/>
        <w:gridCol w:w="1462"/>
        <w:gridCol w:w="967"/>
      </w:tblGrid>
      <w:tr w:rsidR="00F774AD" w:rsidRPr="00F774AD" w14:paraId="090513DD" w14:textId="77777777" w:rsidTr="00F774AD">
        <w:trPr>
          <w:trHeight w:val="1002"/>
        </w:trPr>
        <w:tc>
          <w:tcPr>
            <w:tcW w:w="14364" w:type="dxa"/>
            <w:gridSpan w:val="6"/>
            <w:tcBorders>
              <w:top w:val="nil"/>
              <w:left w:val="nil"/>
              <w:bottom w:val="nil"/>
              <w:right w:val="nil"/>
            </w:tcBorders>
            <w:shd w:val="clear" w:color="auto" w:fill="auto"/>
            <w:noWrap/>
            <w:vAlign w:val="center"/>
            <w:hideMark/>
          </w:tcPr>
          <w:p w14:paraId="2354D892" w14:textId="77777777" w:rsidR="00F774AD" w:rsidRPr="00F774AD" w:rsidRDefault="00F774AD" w:rsidP="00F774AD">
            <w:pPr>
              <w:jc w:val="center"/>
              <w:rPr>
                <w:rFonts w:ascii="Arial" w:hAnsi="Arial" w:cs="Arial"/>
                <w:b/>
                <w:bCs/>
                <w:sz w:val="28"/>
                <w:szCs w:val="28"/>
              </w:rPr>
            </w:pPr>
            <w:r w:rsidRPr="00F774AD">
              <w:rPr>
                <w:rFonts w:ascii="Arial" w:hAnsi="Arial" w:cs="Arial"/>
                <w:b/>
                <w:bCs/>
                <w:sz w:val="28"/>
                <w:szCs w:val="28"/>
              </w:rPr>
              <w:lastRenderedPageBreak/>
              <w:t>BILANCA</w:t>
            </w:r>
          </w:p>
        </w:tc>
      </w:tr>
      <w:tr w:rsidR="00F774AD" w:rsidRPr="00F774AD" w14:paraId="483722B3" w14:textId="77777777" w:rsidTr="00F774AD">
        <w:trPr>
          <w:trHeight w:val="960"/>
        </w:trPr>
        <w:tc>
          <w:tcPr>
            <w:tcW w:w="971" w:type="dxa"/>
            <w:tcBorders>
              <w:top w:val="single" w:sz="4" w:space="0" w:color="000000"/>
              <w:left w:val="single" w:sz="4" w:space="0" w:color="000000"/>
              <w:bottom w:val="single" w:sz="4" w:space="0" w:color="000000"/>
              <w:right w:val="single" w:sz="4" w:space="0" w:color="000080"/>
            </w:tcBorders>
            <w:shd w:val="clear" w:color="auto" w:fill="auto"/>
            <w:vAlign w:val="center"/>
            <w:hideMark/>
          </w:tcPr>
          <w:p w14:paraId="22D7A8F4" w14:textId="77777777" w:rsidR="00F774AD" w:rsidRPr="00F774AD" w:rsidRDefault="00F774AD" w:rsidP="00F774AD">
            <w:pPr>
              <w:jc w:val="center"/>
              <w:rPr>
                <w:rFonts w:ascii="Arial" w:hAnsi="Arial" w:cs="Arial"/>
                <w:b/>
                <w:bCs/>
                <w:sz w:val="18"/>
                <w:szCs w:val="18"/>
              </w:rPr>
            </w:pPr>
            <w:r w:rsidRPr="00F774AD">
              <w:rPr>
                <w:rFonts w:ascii="Arial" w:hAnsi="Arial" w:cs="Arial"/>
                <w:b/>
                <w:bCs/>
                <w:sz w:val="18"/>
                <w:szCs w:val="18"/>
              </w:rPr>
              <w:t xml:space="preserve">Račun iz </w:t>
            </w:r>
            <w:proofErr w:type="spellStart"/>
            <w:r w:rsidRPr="00F774AD">
              <w:rPr>
                <w:rFonts w:ascii="Arial" w:hAnsi="Arial" w:cs="Arial"/>
                <w:b/>
                <w:bCs/>
                <w:sz w:val="18"/>
                <w:szCs w:val="18"/>
              </w:rPr>
              <w:t>Rač</w:t>
            </w:r>
            <w:proofErr w:type="spellEnd"/>
            <w:r w:rsidRPr="00F774AD">
              <w:rPr>
                <w:rFonts w:ascii="Arial" w:hAnsi="Arial" w:cs="Arial"/>
                <w:b/>
                <w:bCs/>
                <w:sz w:val="18"/>
                <w:szCs w:val="18"/>
              </w:rPr>
              <w:t>. plana</w:t>
            </w:r>
          </w:p>
        </w:tc>
        <w:tc>
          <w:tcPr>
            <w:tcW w:w="8766" w:type="dxa"/>
            <w:tcBorders>
              <w:top w:val="single" w:sz="4" w:space="0" w:color="000000"/>
              <w:left w:val="nil"/>
              <w:bottom w:val="single" w:sz="4" w:space="0" w:color="000000"/>
              <w:right w:val="single" w:sz="4" w:space="0" w:color="000080"/>
            </w:tcBorders>
            <w:shd w:val="clear" w:color="auto" w:fill="auto"/>
            <w:vAlign w:val="center"/>
            <w:hideMark/>
          </w:tcPr>
          <w:p w14:paraId="46795DCD" w14:textId="77777777" w:rsidR="00F774AD" w:rsidRPr="00F774AD" w:rsidRDefault="00F774AD" w:rsidP="00F774AD">
            <w:pPr>
              <w:jc w:val="center"/>
              <w:rPr>
                <w:rFonts w:ascii="Arial" w:hAnsi="Arial" w:cs="Arial"/>
                <w:b/>
                <w:bCs/>
                <w:sz w:val="18"/>
                <w:szCs w:val="18"/>
              </w:rPr>
            </w:pPr>
            <w:r w:rsidRPr="00F774AD">
              <w:rPr>
                <w:rFonts w:ascii="Arial" w:hAnsi="Arial" w:cs="Arial"/>
                <w:b/>
                <w:bCs/>
                <w:sz w:val="18"/>
                <w:szCs w:val="18"/>
              </w:rPr>
              <w:t>Opis stavke</w:t>
            </w:r>
          </w:p>
        </w:tc>
        <w:tc>
          <w:tcPr>
            <w:tcW w:w="717" w:type="dxa"/>
            <w:tcBorders>
              <w:top w:val="single" w:sz="4" w:space="0" w:color="000000"/>
              <w:left w:val="nil"/>
              <w:bottom w:val="nil"/>
              <w:right w:val="single" w:sz="4" w:space="0" w:color="000080"/>
            </w:tcBorders>
            <w:shd w:val="clear" w:color="auto" w:fill="auto"/>
            <w:vAlign w:val="center"/>
            <w:hideMark/>
          </w:tcPr>
          <w:p w14:paraId="39104E0D" w14:textId="77777777" w:rsidR="00F774AD" w:rsidRPr="00F774AD" w:rsidRDefault="00F774AD" w:rsidP="00F774AD">
            <w:pPr>
              <w:jc w:val="center"/>
              <w:rPr>
                <w:rFonts w:ascii="Arial" w:hAnsi="Arial" w:cs="Arial"/>
                <w:b/>
                <w:bCs/>
                <w:sz w:val="18"/>
                <w:szCs w:val="18"/>
              </w:rPr>
            </w:pPr>
            <w:r w:rsidRPr="00F774AD">
              <w:rPr>
                <w:rFonts w:ascii="Arial" w:hAnsi="Arial" w:cs="Arial"/>
                <w:b/>
                <w:bCs/>
                <w:sz w:val="18"/>
                <w:szCs w:val="18"/>
              </w:rPr>
              <w:t>Šifra</w:t>
            </w:r>
          </w:p>
        </w:tc>
        <w:tc>
          <w:tcPr>
            <w:tcW w:w="1481" w:type="dxa"/>
            <w:tcBorders>
              <w:top w:val="single" w:sz="4" w:space="0" w:color="000000"/>
              <w:left w:val="nil"/>
              <w:bottom w:val="single" w:sz="4" w:space="0" w:color="000000"/>
              <w:right w:val="single" w:sz="4" w:space="0" w:color="000080"/>
            </w:tcBorders>
            <w:shd w:val="clear" w:color="auto" w:fill="auto"/>
            <w:noWrap/>
            <w:vAlign w:val="center"/>
            <w:hideMark/>
          </w:tcPr>
          <w:p w14:paraId="418F14A0" w14:textId="77777777" w:rsidR="00F774AD" w:rsidRPr="00F774AD" w:rsidRDefault="00F774AD" w:rsidP="00F774AD">
            <w:pPr>
              <w:jc w:val="center"/>
              <w:rPr>
                <w:rFonts w:ascii="Arial" w:hAnsi="Arial" w:cs="Arial"/>
                <w:b/>
                <w:bCs/>
                <w:sz w:val="18"/>
                <w:szCs w:val="18"/>
              </w:rPr>
            </w:pPr>
            <w:r w:rsidRPr="00F774AD">
              <w:rPr>
                <w:rFonts w:ascii="Arial" w:hAnsi="Arial" w:cs="Arial"/>
                <w:b/>
                <w:bCs/>
                <w:sz w:val="18"/>
                <w:szCs w:val="18"/>
              </w:rPr>
              <w:t>Stanje 1. siječnja</w:t>
            </w:r>
          </w:p>
        </w:tc>
        <w:tc>
          <w:tcPr>
            <w:tcW w:w="1462" w:type="dxa"/>
            <w:tcBorders>
              <w:top w:val="single" w:sz="4" w:space="0" w:color="000000"/>
              <w:left w:val="nil"/>
              <w:bottom w:val="single" w:sz="4" w:space="0" w:color="000000"/>
              <w:right w:val="single" w:sz="4" w:space="0" w:color="000080"/>
            </w:tcBorders>
            <w:shd w:val="clear" w:color="auto" w:fill="auto"/>
            <w:vAlign w:val="center"/>
            <w:hideMark/>
          </w:tcPr>
          <w:p w14:paraId="2917180A" w14:textId="77777777" w:rsidR="00F774AD" w:rsidRPr="00F774AD" w:rsidRDefault="00F774AD" w:rsidP="00F774AD">
            <w:pPr>
              <w:jc w:val="center"/>
              <w:rPr>
                <w:rFonts w:ascii="Arial" w:hAnsi="Arial" w:cs="Arial"/>
                <w:b/>
                <w:bCs/>
                <w:sz w:val="18"/>
                <w:szCs w:val="18"/>
              </w:rPr>
            </w:pPr>
            <w:r w:rsidRPr="00F774AD">
              <w:rPr>
                <w:rFonts w:ascii="Arial" w:hAnsi="Arial" w:cs="Arial"/>
                <w:b/>
                <w:bCs/>
                <w:sz w:val="18"/>
                <w:szCs w:val="18"/>
              </w:rPr>
              <w:t>Stanje 31. prosinca</w:t>
            </w:r>
          </w:p>
        </w:tc>
        <w:tc>
          <w:tcPr>
            <w:tcW w:w="967" w:type="dxa"/>
            <w:tcBorders>
              <w:top w:val="single" w:sz="4" w:space="0" w:color="000000"/>
              <w:left w:val="nil"/>
              <w:bottom w:val="single" w:sz="4" w:space="0" w:color="000000"/>
              <w:right w:val="single" w:sz="4" w:space="0" w:color="000000"/>
            </w:tcBorders>
            <w:shd w:val="clear" w:color="auto" w:fill="auto"/>
            <w:vAlign w:val="center"/>
            <w:hideMark/>
          </w:tcPr>
          <w:p w14:paraId="76021045" w14:textId="77777777" w:rsidR="00F774AD" w:rsidRPr="00F774AD" w:rsidRDefault="00F774AD" w:rsidP="00F774AD">
            <w:pPr>
              <w:jc w:val="center"/>
              <w:rPr>
                <w:rFonts w:ascii="Arial" w:hAnsi="Arial" w:cs="Arial"/>
                <w:b/>
                <w:bCs/>
                <w:sz w:val="18"/>
                <w:szCs w:val="18"/>
              </w:rPr>
            </w:pPr>
            <w:r w:rsidRPr="00F774AD">
              <w:rPr>
                <w:rFonts w:ascii="Arial" w:hAnsi="Arial" w:cs="Arial"/>
                <w:b/>
                <w:bCs/>
                <w:sz w:val="18"/>
                <w:szCs w:val="18"/>
              </w:rPr>
              <w:t>Indeks</w:t>
            </w:r>
            <w:r w:rsidRPr="00F774AD">
              <w:rPr>
                <w:rFonts w:ascii="Arial" w:hAnsi="Arial" w:cs="Arial"/>
                <w:b/>
                <w:bCs/>
                <w:sz w:val="18"/>
                <w:szCs w:val="18"/>
              </w:rPr>
              <w:br/>
              <w:t>(5/4)</w:t>
            </w:r>
          </w:p>
        </w:tc>
      </w:tr>
      <w:tr w:rsidR="00F774AD" w:rsidRPr="00F774AD" w14:paraId="11F4755E" w14:textId="77777777" w:rsidTr="00F774AD">
        <w:trPr>
          <w:trHeight w:val="240"/>
        </w:trPr>
        <w:tc>
          <w:tcPr>
            <w:tcW w:w="971" w:type="dxa"/>
            <w:tcBorders>
              <w:top w:val="nil"/>
              <w:left w:val="single" w:sz="4" w:space="0" w:color="000000"/>
              <w:bottom w:val="nil"/>
              <w:right w:val="single" w:sz="4" w:space="0" w:color="000080"/>
            </w:tcBorders>
            <w:shd w:val="clear" w:color="000000" w:fill="FFFFCC"/>
            <w:vAlign w:val="center"/>
            <w:hideMark/>
          </w:tcPr>
          <w:p w14:paraId="063AFBC8" w14:textId="77777777" w:rsidR="00F774AD" w:rsidRPr="00F774AD" w:rsidRDefault="00F774AD" w:rsidP="00F774AD">
            <w:pPr>
              <w:jc w:val="center"/>
              <w:rPr>
                <w:rFonts w:ascii="Arial" w:hAnsi="Arial" w:cs="Arial"/>
                <w:b/>
                <w:bCs/>
                <w:color w:val="000080"/>
                <w:sz w:val="18"/>
                <w:szCs w:val="18"/>
              </w:rPr>
            </w:pPr>
            <w:r w:rsidRPr="00F774AD">
              <w:rPr>
                <w:rFonts w:ascii="Arial" w:hAnsi="Arial" w:cs="Arial"/>
                <w:b/>
                <w:bCs/>
                <w:color w:val="000080"/>
                <w:sz w:val="18"/>
                <w:szCs w:val="18"/>
              </w:rPr>
              <w:t>1</w:t>
            </w:r>
          </w:p>
        </w:tc>
        <w:tc>
          <w:tcPr>
            <w:tcW w:w="8766" w:type="dxa"/>
            <w:tcBorders>
              <w:top w:val="nil"/>
              <w:left w:val="nil"/>
              <w:bottom w:val="nil"/>
              <w:right w:val="single" w:sz="4" w:space="0" w:color="000080"/>
            </w:tcBorders>
            <w:shd w:val="clear" w:color="000000" w:fill="FFFFCC"/>
            <w:vAlign w:val="center"/>
            <w:hideMark/>
          </w:tcPr>
          <w:p w14:paraId="1FD9D776" w14:textId="77777777" w:rsidR="00F774AD" w:rsidRPr="00F774AD" w:rsidRDefault="00F774AD" w:rsidP="00F774AD">
            <w:pPr>
              <w:jc w:val="center"/>
              <w:rPr>
                <w:rFonts w:ascii="Arial" w:hAnsi="Arial" w:cs="Arial"/>
                <w:b/>
                <w:bCs/>
                <w:color w:val="000080"/>
                <w:sz w:val="18"/>
                <w:szCs w:val="18"/>
              </w:rPr>
            </w:pPr>
            <w:r w:rsidRPr="00F774AD">
              <w:rPr>
                <w:rFonts w:ascii="Arial" w:hAnsi="Arial" w:cs="Arial"/>
                <w:b/>
                <w:bCs/>
                <w:color w:val="000080"/>
                <w:sz w:val="18"/>
                <w:szCs w:val="18"/>
              </w:rPr>
              <w:t>2</w:t>
            </w:r>
          </w:p>
        </w:tc>
        <w:tc>
          <w:tcPr>
            <w:tcW w:w="717" w:type="dxa"/>
            <w:tcBorders>
              <w:top w:val="single" w:sz="4" w:space="0" w:color="000000"/>
              <w:left w:val="nil"/>
              <w:bottom w:val="nil"/>
              <w:right w:val="single" w:sz="4" w:space="0" w:color="000080"/>
            </w:tcBorders>
            <w:shd w:val="clear" w:color="000000" w:fill="FFFFCC"/>
            <w:noWrap/>
            <w:vAlign w:val="center"/>
            <w:hideMark/>
          </w:tcPr>
          <w:p w14:paraId="032B9F5D" w14:textId="77777777" w:rsidR="00F774AD" w:rsidRPr="00F774AD" w:rsidRDefault="00F774AD" w:rsidP="00F774AD">
            <w:pPr>
              <w:jc w:val="center"/>
              <w:rPr>
                <w:rFonts w:ascii="Arial" w:hAnsi="Arial" w:cs="Arial"/>
                <w:b/>
                <w:bCs/>
                <w:color w:val="000080"/>
                <w:sz w:val="18"/>
                <w:szCs w:val="18"/>
              </w:rPr>
            </w:pPr>
            <w:r w:rsidRPr="00F774AD">
              <w:rPr>
                <w:rFonts w:ascii="Arial" w:hAnsi="Arial" w:cs="Arial"/>
                <w:b/>
                <w:bCs/>
                <w:color w:val="000080"/>
                <w:sz w:val="18"/>
                <w:szCs w:val="18"/>
              </w:rPr>
              <w:t>3</w:t>
            </w:r>
          </w:p>
        </w:tc>
        <w:tc>
          <w:tcPr>
            <w:tcW w:w="1481" w:type="dxa"/>
            <w:tcBorders>
              <w:top w:val="nil"/>
              <w:left w:val="nil"/>
              <w:bottom w:val="nil"/>
              <w:right w:val="single" w:sz="4" w:space="0" w:color="000080"/>
            </w:tcBorders>
            <w:shd w:val="clear" w:color="000000" w:fill="FFFFCC"/>
            <w:noWrap/>
            <w:vAlign w:val="center"/>
            <w:hideMark/>
          </w:tcPr>
          <w:p w14:paraId="3B8D6FED" w14:textId="77777777" w:rsidR="00F774AD" w:rsidRPr="00F774AD" w:rsidRDefault="00F774AD" w:rsidP="00F774AD">
            <w:pPr>
              <w:jc w:val="center"/>
              <w:rPr>
                <w:rFonts w:ascii="Arial" w:hAnsi="Arial" w:cs="Arial"/>
                <w:b/>
                <w:bCs/>
                <w:color w:val="000080"/>
                <w:sz w:val="18"/>
                <w:szCs w:val="18"/>
              </w:rPr>
            </w:pPr>
            <w:r w:rsidRPr="00F774AD">
              <w:rPr>
                <w:rFonts w:ascii="Arial" w:hAnsi="Arial" w:cs="Arial"/>
                <w:b/>
                <w:bCs/>
                <w:color w:val="000080"/>
                <w:sz w:val="18"/>
                <w:szCs w:val="18"/>
              </w:rPr>
              <w:t>4</w:t>
            </w:r>
          </w:p>
        </w:tc>
        <w:tc>
          <w:tcPr>
            <w:tcW w:w="1462" w:type="dxa"/>
            <w:tcBorders>
              <w:top w:val="nil"/>
              <w:left w:val="nil"/>
              <w:bottom w:val="nil"/>
              <w:right w:val="single" w:sz="4" w:space="0" w:color="000080"/>
            </w:tcBorders>
            <w:shd w:val="clear" w:color="000000" w:fill="FFFFCC"/>
            <w:vAlign w:val="center"/>
            <w:hideMark/>
          </w:tcPr>
          <w:p w14:paraId="3C0BB955" w14:textId="77777777" w:rsidR="00F774AD" w:rsidRPr="00F774AD" w:rsidRDefault="00F774AD" w:rsidP="00F774AD">
            <w:pPr>
              <w:jc w:val="center"/>
              <w:rPr>
                <w:rFonts w:ascii="Arial" w:hAnsi="Arial" w:cs="Arial"/>
                <w:b/>
                <w:bCs/>
                <w:color w:val="000080"/>
                <w:sz w:val="18"/>
                <w:szCs w:val="18"/>
              </w:rPr>
            </w:pPr>
            <w:r w:rsidRPr="00F774AD">
              <w:rPr>
                <w:rFonts w:ascii="Arial" w:hAnsi="Arial" w:cs="Arial"/>
                <w:b/>
                <w:bCs/>
                <w:color w:val="000080"/>
                <w:sz w:val="18"/>
                <w:szCs w:val="18"/>
              </w:rPr>
              <w:t>5</w:t>
            </w:r>
          </w:p>
        </w:tc>
        <w:tc>
          <w:tcPr>
            <w:tcW w:w="967" w:type="dxa"/>
            <w:tcBorders>
              <w:top w:val="nil"/>
              <w:left w:val="nil"/>
              <w:bottom w:val="nil"/>
              <w:right w:val="single" w:sz="4" w:space="0" w:color="000000"/>
            </w:tcBorders>
            <w:shd w:val="clear" w:color="000000" w:fill="FFFFCC"/>
            <w:vAlign w:val="center"/>
            <w:hideMark/>
          </w:tcPr>
          <w:p w14:paraId="28D1C161" w14:textId="77777777" w:rsidR="00F774AD" w:rsidRPr="00F774AD" w:rsidRDefault="00F774AD" w:rsidP="00F774AD">
            <w:pPr>
              <w:jc w:val="center"/>
              <w:rPr>
                <w:rFonts w:ascii="Arial" w:hAnsi="Arial" w:cs="Arial"/>
                <w:b/>
                <w:bCs/>
                <w:color w:val="000080"/>
                <w:sz w:val="18"/>
                <w:szCs w:val="18"/>
              </w:rPr>
            </w:pPr>
            <w:r w:rsidRPr="00F774AD">
              <w:rPr>
                <w:rFonts w:ascii="Arial" w:hAnsi="Arial" w:cs="Arial"/>
                <w:b/>
                <w:bCs/>
                <w:color w:val="000080"/>
                <w:sz w:val="18"/>
                <w:szCs w:val="18"/>
              </w:rPr>
              <w:t>6</w:t>
            </w:r>
          </w:p>
        </w:tc>
      </w:tr>
      <w:tr w:rsidR="00F774AD" w:rsidRPr="00F774AD" w14:paraId="4E90741C" w14:textId="77777777" w:rsidTr="00F774AD">
        <w:trPr>
          <w:trHeight w:val="402"/>
        </w:trPr>
        <w:tc>
          <w:tcPr>
            <w:tcW w:w="9737" w:type="dxa"/>
            <w:gridSpan w:val="2"/>
            <w:tcBorders>
              <w:top w:val="single" w:sz="4" w:space="0" w:color="000000"/>
              <w:left w:val="single" w:sz="4" w:space="0" w:color="000000"/>
              <w:bottom w:val="single" w:sz="4" w:space="0" w:color="C0C0C0"/>
              <w:right w:val="single" w:sz="4" w:space="0" w:color="000080"/>
            </w:tcBorders>
            <w:shd w:val="clear" w:color="DBE5F1" w:fill="DBE5F1"/>
            <w:vAlign w:val="center"/>
            <w:hideMark/>
          </w:tcPr>
          <w:p w14:paraId="6A47436E" w14:textId="77777777" w:rsidR="00F774AD" w:rsidRPr="00F774AD" w:rsidRDefault="00F774AD" w:rsidP="00F774AD">
            <w:pPr>
              <w:rPr>
                <w:rFonts w:ascii="Arial" w:hAnsi="Arial" w:cs="Arial"/>
                <w:b/>
                <w:bCs/>
                <w:color w:val="0C0C0C"/>
              </w:rPr>
            </w:pPr>
            <w:r w:rsidRPr="00F774AD">
              <w:rPr>
                <w:rFonts w:ascii="Arial" w:hAnsi="Arial" w:cs="Arial"/>
                <w:b/>
                <w:bCs/>
                <w:color w:val="0C0C0C"/>
              </w:rPr>
              <w:t>IMOVINA</w:t>
            </w:r>
          </w:p>
        </w:tc>
        <w:tc>
          <w:tcPr>
            <w:tcW w:w="717" w:type="dxa"/>
            <w:tcBorders>
              <w:top w:val="single" w:sz="4" w:space="0" w:color="000000"/>
              <w:left w:val="single" w:sz="4" w:space="0" w:color="000000"/>
              <w:bottom w:val="single" w:sz="4" w:space="0" w:color="C0C0C0"/>
              <w:right w:val="nil"/>
            </w:tcBorders>
            <w:shd w:val="clear" w:color="DBE5F1" w:fill="DBE5F1"/>
            <w:vAlign w:val="center"/>
            <w:hideMark/>
          </w:tcPr>
          <w:p w14:paraId="4AF2BA36" w14:textId="77777777" w:rsidR="00F774AD" w:rsidRPr="00F774AD" w:rsidRDefault="00F774AD" w:rsidP="00F774AD">
            <w:pPr>
              <w:rPr>
                <w:rFonts w:ascii="Arial" w:hAnsi="Arial" w:cs="Arial"/>
                <w:b/>
                <w:bCs/>
                <w:color w:val="0C0C0C"/>
                <w:sz w:val="18"/>
                <w:szCs w:val="18"/>
              </w:rPr>
            </w:pPr>
            <w:r w:rsidRPr="00F774AD">
              <w:rPr>
                <w:rFonts w:ascii="Arial" w:hAnsi="Arial" w:cs="Arial"/>
                <w:b/>
                <w:bCs/>
                <w:color w:val="0C0C0C"/>
                <w:sz w:val="18"/>
                <w:szCs w:val="18"/>
              </w:rPr>
              <w:t> </w:t>
            </w:r>
          </w:p>
        </w:tc>
        <w:tc>
          <w:tcPr>
            <w:tcW w:w="1481" w:type="dxa"/>
            <w:tcBorders>
              <w:top w:val="single" w:sz="4" w:space="0" w:color="000000"/>
              <w:left w:val="single" w:sz="4" w:space="0" w:color="000080"/>
              <w:bottom w:val="single" w:sz="4" w:space="0" w:color="C0C0C0"/>
              <w:right w:val="single" w:sz="4" w:space="0" w:color="000080"/>
            </w:tcBorders>
            <w:shd w:val="clear" w:color="DBE5F1" w:fill="DBE5F1"/>
            <w:noWrap/>
            <w:vAlign w:val="center"/>
            <w:hideMark/>
          </w:tcPr>
          <w:p w14:paraId="5CDE8EFE" w14:textId="77777777" w:rsidR="00F774AD" w:rsidRPr="00F774AD" w:rsidRDefault="00F774AD" w:rsidP="00F774AD">
            <w:pPr>
              <w:rPr>
                <w:rFonts w:ascii="Arial" w:hAnsi="Arial" w:cs="Arial"/>
                <w:b/>
                <w:bCs/>
                <w:color w:val="0C0C0C"/>
                <w:sz w:val="16"/>
                <w:szCs w:val="16"/>
              </w:rPr>
            </w:pPr>
            <w:r w:rsidRPr="00F774AD">
              <w:rPr>
                <w:rFonts w:ascii="Arial" w:hAnsi="Arial" w:cs="Arial"/>
                <w:b/>
                <w:bCs/>
                <w:color w:val="0C0C0C"/>
                <w:sz w:val="16"/>
                <w:szCs w:val="16"/>
              </w:rPr>
              <w:t> </w:t>
            </w:r>
          </w:p>
        </w:tc>
        <w:tc>
          <w:tcPr>
            <w:tcW w:w="1462" w:type="dxa"/>
            <w:tcBorders>
              <w:top w:val="single" w:sz="4" w:space="0" w:color="000000"/>
              <w:left w:val="nil"/>
              <w:bottom w:val="single" w:sz="4" w:space="0" w:color="C0C0C0"/>
              <w:right w:val="single" w:sz="4" w:space="0" w:color="000080"/>
            </w:tcBorders>
            <w:shd w:val="clear" w:color="DBE5F1" w:fill="DBE5F1"/>
            <w:noWrap/>
            <w:vAlign w:val="center"/>
            <w:hideMark/>
          </w:tcPr>
          <w:p w14:paraId="61209D42" w14:textId="77777777" w:rsidR="00F774AD" w:rsidRPr="00F774AD" w:rsidRDefault="00F774AD" w:rsidP="00F774AD">
            <w:pPr>
              <w:rPr>
                <w:rFonts w:ascii="Arial" w:hAnsi="Arial" w:cs="Arial"/>
                <w:b/>
                <w:bCs/>
                <w:color w:val="0C0C0C"/>
                <w:sz w:val="16"/>
                <w:szCs w:val="16"/>
              </w:rPr>
            </w:pPr>
            <w:r w:rsidRPr="00F774AD">
              <w:rPr>
                <w:rFonts w:ascii="Arial" w:hAnsi="Arial" w:cs="Arial"/>
                <w:b/>
                <w:bCs/>
                <w:color w:val="0C0C0C"/>
                <w:sz w:val="16"/>
                <w:szCs w:val="16"/>
              </w:rPr>
              <w:t> </w:t>
            </w:r>
          </w:p>
        </w:tc>
        <w:tc>
          <w:tcPr>
            <w:tcW w:w="967" w:type="dxa"/>
            <w:tcBorders>
              <w:top w:val="single" w:sz="4" w:space="0" w:color="000000"/>
              <w:left w:val="nil"/>
              <w:bottom w:val="single" w:sz="4" w:space="0" w:color="C0C0C0"/>
              <w:right w:val="single" w:sz="4" w:space="0" w:color="000000"/>
            </w:tcBorders>
            <w:shd w:val="clear" w:color="DBE5F1" w:fill="DBE5F1"/>
            <w:noWrap/>
            <w:vAlign w:val="center"/>
            <w:hideMark/>
          </w:tcPr>
          <w:p w14:paraId="3B3DD7E6" w14:textId="77777777" w:rsidR="00F774AD" w:rsidRPr="00F774AD" w:rsidRDefault="00F774AD" w:rsidP="00F774AD">
            <w:pPr>
              <w:rPr>
                <w:rFonts w:ascii="Arial" w:hAnsi="Arial" w:cs="Arial"/>
                <w:b/>
                <w:bCs/>
                <w:color w:val="0C0C0C"/>
                <w:sz w:val="16"/>
                <w:szCs w:val="16"/>
              </w:rPr>
            </w:pPr>
            <w:r w:rsidRPr="00F774AD">
              <w:rPr>
                <w:rFonts w:ascii="Arial" w:hAnsi="Arial" w:cs="Arial"/>
                <w:b/>
                <w:bCs/>
                <w:color w:val="0C0C0C"/>
                <w:sz w:val="16"/>
                <w:szCs w:val="16"/>
              </w:rPr>
              <w:t> </w:t>
            </w:r>
          </w:p>
        </w:tc>
      </w:tr>
      <w:tr w:rsidR="00F774AD" w:rsidRPr="00F774AD" w14:paraId="700ACFC5"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16C3430C" w14:textId="77777777" w:rsidR="00F774AD" w:rsidRPr="00F774AD" w:rsidRDefault="00F774AD" w:rsidP="00F774AD">
            <w:pPr>
              <w:rPr>
                <w:rFonts w:ascii="Arial" w:hAnsi="Arial" w:cs="Arial"/>
                <w:sz w:val="18"/>
                <w:szCs w:val="18"/>
              </w:rPr>
            </w:pPr>
            <w:r w:rsidRPr="00F774AD">
              <w:rPr>
                <w:rFonts w:ascii="Arial" w:hAnsi="Arial" w:cs="Arial"/>
                <w:sz w:val="18"/>
                <w:szCs w:val="18"/>
              </w:rPr>
              <w:t> </w:t>
            </w:r>
          </w:p>
        </w:tc>
        <w:tc>
          <w:tcPr>
            <w:tcW w:w="8766" w:type="dxa"/>
            <w:tcBorders>
              <w:top w:val="nil"/>
              <w:left w:val="nil"/>
              <w:bottom w:val="single" w:sz="4" w:space="0" w:color="C0C0C0"/>
              <w:right w:val="single" w:sz="4" w:space="0" w:color="000080"/>
            </w:tcBorders>
            <w:shd w:val="clear" w:color="auto" w:fill="auto"/>
            <w:vAlign w:val="center"/>
            <w:hideMark/>
          </w:tcPr>
          <w:p w14:paraId="5BEFD3E9" w14:textId="77777777" w:rsidR="00F774AD" w:rsidRPr="00F774AD" w:rsidRDefault="00F774AD" w:rsidP="00F774AD">
            <w:pPr>
              <w:rPr>
                <w:rFonts w:ascii="Arial" w:hAnsi="Arial" w:cs="Arial"/>
                <w:sz w:val="18"/>
                <w:szCs w:val="18"/>
              </w:rPr>
            </w:pPr>
            <w:r w:rsidRPr="00F774AD">
              <w:rPr>
                <w:rFonts w:ascii="Arial" w:hAnsi="Arial" w:cs="Arial"/>
                <w:sz w:val="18"/>
                <w:szCs w:val="18"/>
              </w:rPr>
              <w:t>IMOVINA (šifre B002+1)</w:t>
            </w:r>
          </w:p>
        </w:tc>
        <w:tc>
          <w:tcPr>
            <w:tcW w:w="717" w:type="dxa"/>
            <w:tcBorders>
              <w:top w:val="nil"/>
              <w:left w:val="nil"/>
              <w:bottom w:val="single" w:sz="4" w:space="0" w:color="C0C0C0"/>
              <w:right w:val="single" w:sz="4" w:space="0" w:color="000080"/>
            </w:tcBorders>
            <w:shd w:val="clear" w:color="auto" w:fill="auto"/>
            <w:vAlign w:val="center"/>
            <w:hideMark/>
          </w:tcPr>
          <w:p w14:paraId="1AA18676"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B001</w:t>
            </w:r>
          </w:p>
        </w:tc>
        <w:tc>
          <w:tcPr>
            <w:tcW w:w="1481" w:type="dxa"/>
            <w:tcBorders>
              <w:top w:val="nil"/>
              <w:left w:val="nil"/>
              <w:bottom w:val="single" w:sz="4" w:space="0" w:color="C0C0C0"/>
              <w:right w:val="single" w:sz="4" w:space="0" w:color="000080"/>
            </w:tcBorders>
            <w:shd w:val="clear" w:color="auto" w:fill="auto"/>
            <w:noWrap/>
            <w:vAlign w:val="center"/>
            <w:hideMark/>
          </w:tcPr>
          <w:p w14:paraId="41B01729"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359.202.433,08</w:t>
            </w:r>
          </w:p>
        </w:tc>
        <w:tc>
          <w:tcPr>
            <w:tcW w:w="1462" w:type="dxa"/>
            <w:tcBorders>
              <w:top w:val="nil"/>
              <w:left w:val="nil"/>
              <w:bottom w:val="single" w:sz="4" w:space="0" w:color="C0C0C0"/>
              <w:right w:val="single" w:sz="4" w:space="0" w:color="000080"/>
            </w:tcBorders>
            <w:shd w:val="clear" w:color="auto" w:fill="auto"/>
            <w:noWrap/>
            <w:vAlign w:val="center"/>
            <w:hideMark/>
          </w:tcPr>
          <w:p w14:paraId="1B7565E0"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457.077.471,72</w:t>
            </w:r>
          </w:p>
        </w:tc>
        <w:tc>
          <w:tcPr>
            <w:tcW w:w="967" w:type="dxa"/>
            <w:tcBorders>
              <w:top w:val="nil"/>
              <w:left w:val="nil"/>
              <w:bottom w:val="single" w:sz="4" w:space="0" w:color="C0C0C0"/>
              <w:right w:val="single" w:sz="4" w:space="0" w:color="000000"/>
            </w:tcBorders>
            <w:shd w:val="clear" w:color="auto" w:fill="auto"/>
            <w:noWrap/>
            <w:vAlign w:val="center"/>
            <w:hideMark/>
          </w:tcPr>
          <w:p w14:paraId="01D1FE06"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127,2</w:t>
            </w:r>
          </w:p>
        </w:tc>
      </w:tr>
      <w:tr w:rsidR="00F774AD" w:rsidRPr="00F774AD" w14:paraId="13E6A9AD"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69D19D1F" w14:textId="77777777" w:rsidR="00F774AD" w:rsidRPr="00F774AD" w:rsidRDefault="00F774AD" w:rsidP="00F774AD">
            <w:pPr>
              <w:rPr>
                <w:rFonts w:ascii="Arial" w:hAnsi="Arial" w:cs="Arial"/>
                <w:sz w:val="18"/>
                <w:szCs w:val="18"/>
              </w:rPr>
            </w:pPr>
            <w:r w:rsidRPr="00F774AD">
              <w:rPr>
                <w:rFonts w:ascii="Arial" w:hAnsi="Arial" w:cs="Arial"/>
                <w:sz w:val="18"/>
                <w:szCs w:val="18"/>
              </w:rPr>
              <w:t>0</w:t>
            </w:r>
          </w:p>
        </w:tc>
        <w:tc>
          <w:tcPr>
            <w:tcW w:w="8766" w:type="dxa"/>
            <w:tcBorders>
              <w:top w:val="nil"/>
              <w:left w:val="nil"/>
              <w:bottom w:val="single" w:sz="4" w:space="0" w:color="C0C0C0"/>
              <w:right w:val="single" w:sz="4" w:space="0" w:color="000080"/>
            </w:tcBorders>
            <w:shd w:val="clear" w:color="auto" w:fill="auto"/>
            <w:vAlign w:val="center"/>
            <w:hideMark/>
          </w:tcPr>
          <w:p w14:paraId="2985960A" w14:textId="77777777" w:rsidR="00F774AD" w:rsidRPr="00F774AD" w:rsidRDefault="00F774AD" w:rsidP="00F774AD">
            <w:pPr>
              <w:rPr>
                <w:rFonts w:ascii="Arial" w:hAnsi="Arial" w:cs="Arial"/>
                <w:sz w:val="18"/>
                <w:szCs w:val="18"/>
              </w:rPr>
            </w:pPr>
            <w:r w:rsidRPr="00F774AD">
              <w:rPr>
                <w:rFonts w:ascii="Arial" w:hAnsi="Arial" w:cs="Arial"/>
                <w:sz w:val="18"/>
                <w:szCs w:val="18"/>
              </w:rPr>
              <w:t>Nefinancijska imovina (šifre 01+02+03+04+05+06)</w:t>
            </w:r>
          </w:p>
        </w:tc>
        <w:tc>
          <w:tcPr>
            <w:tcW w:w="717" w:type="dxa"/>
            <w:tcBorders>
              <w:top w:val="nil"/>
              <w:left w:val="nil"/>
              <w:bottom w:val="single" w:sz="4" w:space="0" w:color="C0C0C0"/>
              <w:right w:val="single" w:sz="4" w:space="0" w:color="000080"/>
            </w:tcBorders>
            <w:shd w:val="clear" w:color="auto" w:fill="auto"/>
            <w:vAlign w:val="center"/>
            <w:hideMark/>
          </w:tcPr>
          <w:p w14:paraId="04D9C711"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B002</w:t>
            </w:r>
          </w:p>
        </w:tc>
        <w:tc>
          <w:tcPr>
            <w:tcW w:w="1481" w:type="dxa"/>
            <w:tcBorders>
              <w:top w:val="nil"/>
              <w:left w:val="nil"/>
              <w:bottom w:val="single" w:sz="4" w:space="0" w:color="C0C0C0"/>
              <w:right w:val="single" w:sz="4" w:space="0" w:color="000080"/>
            </w:tcBorders>
            <w:shd w:val="clear" w:color="auto" w:fill="auto"/>
            <w:noWrap/>
            <w:vAlign w:val="center"/>
            <w:hideMark/>
          </w:tcPr>
          <w:p w14:paraId="31B68AF4"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56.063.019,03</w:t>
            </w:r>
          </w:p>
        </w:tc>
        <w:tc>
          <w:tcPr>
            <w:tcW w:w="1462" w:type="dxa"/>
            <w:tcBorders>
              <w:top w:val="nil"/>
              <w:left w:val="nil"/>
              <w:bottom w:val="single" w:sz="4" w:space="0" w:color="C0C0C0"/>
              <w:right w:val="single" w:sz="4" w:space="0" w:color="000080"/>
            </w:tcBorders>
            <w:shd w:val="clear" w:color="auto" w:fill="auto"/>
            <w:noWrap/>
            <w:vAlign w:val="center"/>
            <w:hideMark/>
          </w:tcPr>
          <w:p w14:paraId="42FD79D3"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67.151.538,21</w:t>
            </w:r>
          </w:p>
        </w:tc>
        <w:tc>
          <w:tcPr>
            <w:tcW w:w="967" w:type="dxa"/>
            <w:tcBorders>
              <w:top w:val="nil"/>
              <w:left w:val="nil"/>
              <w:bottom w:val="single" w:sz="4" w:space="0" w:color="C0C0C0"/>
              <w:right w:val="single" w:sz="4" w:space="0" w:color="000000"/>
            </w:tcBorders>
            <w:shd w:val="clear" w:color="auto" w:fill="auto"/>
            <w:noWrap/>
            <w:vAlign w:val="center"/>
            <w:hideMark/>
          </w:tcPr>
          <w:p w14:paraId="11375C90"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119,8</w:t>
            </w:r>
          </w:p>
        </w:tc>
      </w:tr>
      <w:tr w:rsidR="00F774AD" w:rsidRPr="00F774AD" w14:paraId="57141DDA"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13080F84" w14:textId="77777777" w:rsidR="00F774AD" w:rsidRPr="00F774AD" w:rsidRDefault="00F774AD" w:rsidP="00F774AD">
            <w:pPr>
              <w:rPr>
                <w:rFonts w:ascii="Arial" w:hAnsi="Arial" w:cs="Arial"/>
                <w:sz w:val="18"/>
                <w:szCs w:val="18"/>
              </w:rPr>
            </w:pPr>
            <w:r w:rsidRPr="00F774AD">
              <w:rPr>
                <w:rFonts w:ascii="Arial" w:hAnsi="Arial" w:cs="Arial"/>
                <w:sz w:val="18"/>
                <w:szCs w:val="18"/>
              </w:rPr>
              <w:t>01</w:t>
            </w:r>
          </w:p>
        </w:tc>
        <w:tc>
          <w:tcPr>
            <w:tcW w:w="8766" w:type="dxa"/>
            <w:tcBorders>
              <w:top w:val="nil"/>
              <w:left w:val="nil"/>
              <w:bottom w:val="single" w:sz="4" w:space="0" w:color="C0C0C0"/>
              <w:right w:val="single" w:sz="4" w:space="0" w:color="000080"/>
            </w:tcBorders>
            <w:shd w:val="clear" w:color="auto" w:fill="auto"/>
            <w:vAlign w:val="center"/>
            <w:hideMark/>
          </w:tcPr>
          <w:p w14:paraId="3748013D" w14:textId="77777777" w:rsidR="00F774AD" w:rsidRPr="00F774AD" w:rsidRDefault="00F774AD" w:rsidP="00F774AD">
            <w:pPr>
              <w:rPr>
                <w:rFonts w:ascii="Arial" w:hAnsi="Arial" w:cs="Arial"/>
                <w:sz w:val="18"/>
                <w:szCs w:val="18"/>
              </w:rPr>
            </w:pPr>
            <w:proofErr w:type="spellStart"/>
            <w:r w:rsidRPr="00F774AD">
              <w:rPr>
                <w:rFonts w:ascii="Arial" w:hAnsi="Arial" w:cs="Arial"/>
                <w:sz w:val="18"/>
                <w:szCs w:val="18"/>
              </w:rPr>
              <w:t>Neproizvedena</w:t>
            </w:r>
            <w:proofErr w:type="spellEnd"/>
            <w:r w:rsidRPr="00F774AD">
              <w:rPr>
                <w:rFonts w:ascii="Arial" w:hAnsi="Arial" w:cs="Arial"/>
                <w:sz w:val="18"/>
                <w:szCs w:val="18"/>
              </w:rPr>
              <w:t xml:space="preserve"> dugotrajna imovina (šifre 011+012-019)</w:t>
            </w:r>
          </w:p>
        </w:tc>
        <w:tc>
          <w:tcPr>
            <w:tcW w:w="717" w:type="dxa"/>
            <w:tcBorders>
              <w:top w:val="nil"/>
              <w:left w:val="nil"/>
              <w:bottom w:val="single" w:sz="4" w:space="0" w:color="C0C0C0"/>
              <w:right w:val="single" w:sz="4" w:space="0" w:color="000080"/>
            </w:tcBorders>
            <w:shd w:val="clear" w:color="auto" w:fill="auto"/>
            <w:vAlign w:val="center"/>
            <w:hideMark/>
          </w:tcPr>
          <w:p w14:paraId="6064432C"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01</w:t>
            </w:r>
          </w:p>
        </w:tc>
        <w:tc>
          <w:tcPr>
            <w:tcW w:w="1481" w:type="dxa"/>
            <w:tcBorders>
              <w:top w:val="nil"/>
              <w:left w:val="nil"/>
              <w:bottom w:val="single" w:sz="4" w:space="0" w:color="C0C0C0"/>
              <w:right w:val="single" w:sz="4" w:space="0" w:color="000080"/>
            </w:tcBorders>
            <w:shd w:val="clear" w:color="auto" w:fill="auto"/>
            <w:noWrap/>
            <w:vAlign w:val="center"/>
            <w:hideMark/>
          </w:tcPr>
          <w:p w14:paraId="0171C9CD"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2.749.908,57</w:t>
            </w:r>
          </w:p>
        </w:tc>
        <w:tc>
          <w:tcPr>
            <w:tcW w:w="1462" w:type="dxa"/>
            <w:tcBorders>
              <w:top w:val="nil"/>
              <w:left w:val="nil"/>
              <w:bottom w:val="single" w:sz="4" w:space="0" w:color="C0C0C0"/>
              <w:right w:val="single" w:sz="4" w:space="0" w:color="000080"/>
            </w:tcBorders>
            <w:shd w:val="clear" w:color="auto" w:fill="auto"/>
            <w:noWrap/>
            <w:vAlign w:val="center"/>
            <w:hideMark/>
          </w:tcPr>
          <w:p w14:paraId="055776A6"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2.128.539,17</w:t>
            </w:r>
          </w:p>
        </w:tc>
        <w:tc>
          <w:tcPr>
            <w:tcW w:w="967" w:type="dxa"/>
            <w:tcBorders>
              <w:top w:val="nil"/>
              <w:left w:val="nil"/>
              <w:bottom w:val="single" w:sz="4" w:space="0" w:color="C0C0C0"/>
              <w:right w:val="single" w:sz="4" w:space="0" w:color="000000"/>
            </w:tcBorders>
            <w:shd w:val="clear" w:color="auto" w:fill="auto"/>
            <w:noWrap/>
            <w:vAlign w:val="center"/>
            <w:hideMark/>
          </w:tcPr>
          <w:p w14:paraId="076F6220"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77,4</w:t>
            </w:r>
          </w:p>
        </w:tc>
      </w:tr>
      <w:tr w:rsidR="00F774AD" w:rsidRPr="00F774AD" w14:paraId="04D28917"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39CA25EB" w14:textId="77777777" w:rsidR="00F774AD" w:rsidRPr="00F774AD" w:rsidRDefault="00F774AD" w:rsidP="00F774AD">
            <w:pPr>
              <w:rPr>
                <w:rFonts w:ascii="Arial" w:hAnsi="Arial" w:cs="Arial"/>
                <w:sz w:val="18"/>
                <w:szCs w:val="18"/>
              </w:rPr>
            </w:pPr>
            <w:r w:rsidRPr="00F774AD">
              <w:rPr>
                <w:rFonts w:ascii="Arial" w:hAnsi="Arial" w:cs="Arial"/>
                <w:sz w:val="18"/>
                <w:szCs w:val="18"/>
              </w:rPr>
              <w:t>011</w:t>
            </w:r>
          </w:p>
        </w:tc>
        <w:tc>
          <w:tcPr>
            <w:tcW w:w="8766" w:type="dxa"/>
            <w:tcBorders>
              <w:top w:val="nil"/>
              <w:left w:val="nil"/>
              <w:bottom w:val="single" w:sz="4" w:space="0" w:color="C0C0C0"/>
              <w:right w:val="single" w:sz="4" w:space="0" w:color="000080"/>
            </w:tcBorders>
            <w:shd w:val="clear" w:color="auto" w:fill="auto"/>
            <w:vAlign w:val="center"/>
            <w:hideMark/>
          </w:tcPr>
          <w:p w14:paraId="1B1D7FBD" w14:textId="77777777" w:rsidR="00F774AD" w:rsidRPr="00F774AD" w:rsidRDefault="00F774AD" w:rsidP="00F774AD">
            <w:pPr>
              <w:rPr>
                <w:rFonts w:ascii="Arial" w:hAnsi="Arial" w:cs="Arial"/>
                <w:sz w:val="18"/>
                <w:szCs w:val="18"/>
              </w:rPr>
            </w:pPr>
            <w:r w:rsidRPr="00F774AD">
              <w:rPr>
                <w:rFonts w:ascii="Arial" w:hAnsi="Arial" w:cs="Arial"/>
                <w:sz w:val="18"/>
                <w:szCs w:val="18"/>
              </w:rPr>
              <w:t>Materijalna imovina - prirodna bogatstva</w:t>
            </w:r>
          </w:p>
        </w:tc>
        <w:tc>
          <w:tcPr>
            <w:tcW w:w="717" w:type="dxa"/>
            <w:tcBorders>
              <w:top w:val="nil"/>
              <w:left w:val="nil"/>
              <w:bottom w:val="single" w:sz="4" w:space="0" w:color="C0C0C0"/>
              <w:right w:val="single" w:sz="4" w:space="0" w:color="000080"/>
            </w:tcBorders>
            <w:shd w:val="clear" w:color="auto" w:fill="auto"/>
            <w:vAlign w:val="center"/>
            <w:hideMark/>
          </w:tcPr>
          <w:p w14:paraId="55BA478E"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011</w:t>
            </w:r>
          </w:p>
        </w:tc>
        <w:tc>
          <w:tcPr>
            <w:tcW w:w="1481" w:type="dxa"/>
            <w:tcBorders>
              <w:top w:val="nil"/>
              <w:left w:val="nil"/>
              <w:bottom w:val="single" w:sz="4" w:space="0" w:color="C0C0C0"/>
              <w:right w:val="single" w:sz="4" w:space="0" w:color="000080"/>
            </w:tcBorders>
            <w:shd w:val="clear" w:color="auto" w:fill="auto"/>
            <w:noWrap/>
            <w:vAlign w:val="center"/>
            <w:hideMark/>
          </w:tcPr>
          <w:p w14:paraId="665800E1"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250.880,69</w:t>
            </w:r>
          </w:p>
        </w:tc>
        <w:tc>
          <w:tcPr>
            <w:tcW w:w="1462" w:type="dxa"/>
            <w:tcBorders>
              <w:top w:val="nil"/>
              <w:left w:val="nil"/>
              <w:bottom w:val="single" w:sz="4" w:space="0" w:color="C0C0C0"/>
              <w:right w:val="single" w:sz="4" w:space="0" w:color="000080"/>
            </w:tcBorders>
            <w:shd w:val="clear" w:color="auto" w:fill="auto"/>
            <w:noWrap/>
            <w:vAlign w:val="center"/>
            <w:hideMark/>
          </w:tcPr>
          <w:p w14:paraId="59269FF6"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0,00</w:t>
            </w:r>
          </w:p>
        </w:tc>
        <w:tc>
          <w:tcPr>
            <w:tcW w:w="967" w:type="dxa"/>
            <w:tcBorders>
              <w:top w:val="nil"/>
              <w:left w:val="nil"/>
              <w:bottom w:val="single" w:sz="4" w:space="0" w:color="C0C0C0"/>
              <w:right w:val="single" w:sz="4" w:space="0" w:color="000000"/>
            </w:tcBorders>
            <w:shd w:val="clear" w:color="auto" w:fill="auto"/>
            <w:noWrap/>
            <w:vAlign w:val="center"/>
            <w:hideMark/>
          </w:tcPr>
          <w:p w14:paraId="39D3939C"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0,0</w:t>
            </w:r>
          </w:p>
        </w:tc>
      </w:tr>
      <w:tr w:rsidR="00F774AD" w:rsidRPr="00F774AD" w14:paraId="6598A538"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1BE1DA6D" w14:textId="77777777" w:rsidR="00F774AD" w:rsidRPr="00F774AD" w:rsidRDefault="00F774AD" w:rsidP="00F774AD">
            <w:pPr>
              <w:rPr>
                <w:rFonts w:ascii="Arial" w:hAnsi="Arial" w:cs="Arial"/>
                <w:sz w:val="18"/>
                <w:szCs w:val="18"/>
              </w:rPr>
            </w:pPr>
            <w:r w:rsidRPr="00F774AD">
              <w:rPr>
                <w:rFonts w:ascii="Arial" w:hAnsi="Arial" w:cs="Arial"/>
                <w:sz w:val="18"/>
                <w:szCs w:val="18"/>
              </w:rPr>
              <w:t>012</w:t>
            </w:r>
          </w:p>
        </w:tc>
        <w:tc>
          <w:tcPr>
            <w:tcW w:w="8766" w:type="dxa"/>
            <w:tcBorders>
              <w:top w:val="nil"/>
              <w:left w:val="nil"/>
              <w:bottom w:val="single" w:sz="4" w:space="0" w:color="C0C0C0"/>
              <w:right w:val="single" w:sz="4" w:space="0" w:color="000080"/>
            </w:tcBorders>
            <w:shd w:val="clear" w:color="auto" w:fill="auto"/>
            <w:vAlign w:val="center"/>
            <w:hideMark/>
          </w:tcPr>
          <w:p w14:paraId="42853B60" w14:textId="77777777" w:rsidR="00F774AD" w:rsidRPr="00F774AD" w:rsidRDefault="00F774AD" w:rsidP="00F774AD">
            <w:pPr>
              <w:rPr>
                <w:rFonts w:ascii="Arial" w:hAnsi="Arial" w:cs="Arial"/>
                <w:sz w:val="18"/>
                <w:szCs w:val="18"/>
              </w:rPr>
            </w:pPr>
            <w:r w:rsidRPr="00F774AD">
              <w:rPr>
                <w:rFonts w:ascii="Arial" w:hAnsi="Arial" w:cs="Arial"/>
                <w:sz w:val="18"/>
                <w:szCs w:val="18"/>
              </w:rPr>
              <w:t>Nematerijalna imovina</w:t>
            </w:r>
          </w:p>
        </w:tc>
        <w:tc>
          <w:tcPr>
            <w:tcW w:w="717" w:type="dxa"/>
            <w:tcBorders>
              <w:top w:val="nil"/>
              <w:left w:val="nil"/>
              <w:bottom w:val="single" w:sz="4" w:space="0" w:color="C0C0C0"/>
              <w:right w:val="single" w:sz="4" w:space="0" w:color="000080"/>
            </w:tcBorders>
            <w:shd w:val="clear" w:color="auto" w:fill="auto"/>
            <w:vAlign w:val="center"/>
            <w:hideMark/>
          </w:tcPr>
          <w:p w14:paraId="0C43990F"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012</w:t>
            </w:r>
          </w:p>
        </w:tc>
        <w:tc>
          <w:tcPr>
            <w:tcW w:w="1481" w:type="dxa"/>
            <w:tcBorders>
              <w:top w:val="nil"/>
              <w:left w:val="nil"/>
              <w:bottom w:val="single" w:sz="4" w:space="0" w:color="C0C0C0"/>
              <w:right w:val="single" w:sz="4" w:space="0" w:color="000080"/>
            </w:tcBorders>
            <w:shd w:val="clear" w:color="auto" w:fill="auto"/>
            <w:noWrap/>
            <w:vAlign w:val="center"/>
            <w:hideMark/>
          </w:tcPr>
          <w:p w14:paraId="18539D5B"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13.502.489,31</w:t>
            </w:r>
          </w:p>
        </w:tc>
        <w:tc>
          <w:tcPr>
            <w:tcW w:w="1462" w:type="dxa"/>
            <w:tcBorders>
              <w:top w:val="nil"/>
              <w:left w:val="nil"/>
              <w:bottom w:val="single" w:sz="4" w:space="0" w:color="C0C0C0"/>
              <w:right w:val="single" w:sz="4" w:space="0" w:color="000080"/>
            </w:tcBorders>
            <w:shd w:val="clear" w:color="auto" w:fill="auto"/>
            <w:noWrap/>
            <w:vAlign w:val="center"/>
            <w:hideMark/>
          </w:tcPr>
          <w:p w14:paraId="5AC87BC8"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14.006.074,23</w:t>
            </w:r>
          </w:p>
        </w:tc>
        <w:tc>
          <w:tcPr>
            <w:tcW w:w="967" w:type="dxa"/>
            <w:tcBorders>
              <w:top w:val="nil"/>
              <w:left w:val="nil"/>
              <w:bottom w:val="single" w:sz="4" w:space="0" w:color="C0C0C0"/>
              <w:right w:val="single" w:sz="4" w:space="0" w:color="000000"/>
            </w:tcBorders>
            <w:shd w:val="clear" w:color="auto" w:fill="auto"/>
            <w:noWrap/>
            <w:vAlign w:val="center"/>
            <w:hideMark/>
          </w:tcPr>
          <w:p w14:paraId="58418BAF"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103,7</w:t>
            </w:r>
          </w:p>
        </w:tc>
      </w:tr>
      <w:tr w:rsidR="00F774AD" w:rsidRPr="00F774AD" w14:paraId="0C0171CE"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2C073DB8" w14:textId="77777777" w:rsidR="00F774AD" w:rsidRPr="00F774AD" w:rsidRDefault="00F774AD" w:rsidP="00F774AD">
            <w:pPr>
              <w:rPr>
                <w:rFonts w:ascii="Arial" w:hAnsi="Arial" w:cs="Arial"/>
                <w:sz w:val="18"/>
                <w:szCs w:val="18"/>
              </w:rPr>
            </w:pPr>
            <w:r w:rsidRPr="00F774AD">
              <w:rPr>
                <w:rFonts w:ascii="Arial" w:hAnsi="Arial" w:cs="Arial"/>
                <w:sz w:val="18"/>
                <w:szCs w:val="18"/>
              </w:rPr>
              <w:t>019</w:t>
            </w:r>
          </w:p>
        </w:tc>
        <w:tc>
          <w:tcPr>
            <w:tcW w:w="8766" w:type="dxa"/>
            <w:tcBorders>
              <w:top w:val="nil"/>
              <w:left w:val="nil"/>
              <w:bottom w:val="single" w:sz="4" w:space="0" w:color="C0C0C0"/>
              <w:right w:val="single" w:sz="4" w:space="0" w:color="000080"/>
            </w:tcBorders>
            <w:shd w:val="clear" w:color="auto" w:fill="auto"/>
            <w:vAlign w:val="center"/>
            <w:hideMark/>
          </w:tcPr>
          <w:p w14:paraId="2CD796A9" w14:textId="77777777" w:rsidR="00F774AD" w:rsidRPr="00F774AD" w:rsidRDefault="00F774AD" w:rsidP="00F774AD">
            <w:pPr>
              <w:rPr>
                <w:rFonts w:ascii="Arial" w:hAnsi="Arial" w:cs="Arial"/>
                <w:sz w:val="18"/>
                <w:szCs w:val="18"/>
              </w:rPr>
            </w:pPr>
            <w:r w:rsidRPr="00F774AD">
              <w:rPr>
                <w:rFonts w:ascii="Arial" w:hAnsi="Arial" w:cs="Arial"/>
                <w:sz w:val="18"/>
                <w:szCs w:val="18"/>
              </w:rPr>
              <w:t xml:space="preserve">Ispravak vrijednosti </w:t>
            </w:r>
            <w:proofErr w:type="spellStart"/>
            <w:r w:rsidRPr="00F774AD">
              <w:rPr>
                <w:rFonts w:ascii="Arial" w:hAnsi="Arial" w:cs="Arial"/>
                <w:sz w:val="18"/>
                <w:szCs w:val="18"/>
              </w:rPr>
              <w:t>neproizvedene</w:t>
            </w:r>
            <w:proofErr w:type="spellEnd"/>
            <w:r w:rsidRPr="00F774AD">
              <w:rPr>
                <w:rFonts w:ascii="Arial" w:hAnsi="Arial" w:cs="Arial"/>
                <w:sz w:val="18"/>
                <w:szCs w:val="18"/>
              </w:rPr>
              <w:t xml:space="preserve"> dugotrajne imovine</w:t>
            </w:r>
          </w:p>
        </w:tc>
        <w:tc>
          <w:tcPr>
            <w:tcW w:w="717" w:type="dxa"/>
            <w:tcBorders>
              <w:top w:val="nil"/>
              <w:left w:val="nil"/>
              <w:bottom w:val="single" w:sz="4" w:space="0" w:color="C0C0C0"/>
              <w:right w:val="single" w:sz="4" w:space="0" w:color="000080"/>
            </w:tcBorders>
            <w:shd w:val="clear" w:color="auto" w:fill="auto"/>
            <w:vAlign w:val="center"/>
            <w:hideMark/>
          </w:tcPr>
          <w:p w14:paraId="65BB8A90"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019</w:t>
            </w:r>
          </w:p>
        </w:tc>
        <w:tc>
          <w:tcPr>
            <w:tcW w:w="1481" w:type="dxa"/>
            <w:tcBorders>
              <w:top w:val="nil"/>
              <w:left w:val="nil"/>
              <w:bottom w:val="single" w:sz="4" w:space="0" w:color="C0C0C0"/>
              <w:right w:val="single" w:sz="4" w:space="0" w:color="000080"/>
            </w:tcBorders>
            <w:shd w:val="clear" w:color="auto" w:fill="auto"/>
            <w:noWrap/>
            <w:vAlign w:val="center"/>
            <w:hideMark/>
          </w:tcPr>
          <w:p w14:paraId="66BFA6DA"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11.003.461,43</w:t>
            </w:r>
          </w:p>
        </w:tc>
        <w:tc>
          <w:tcPr>
            <w:tcW w:w="1462" w:type="dxa"/>
            <w:tcBorders>
              <w:top w:val="nil"/>
              <w:left w:val="nil"/>
              <w:bottom w:val="single" w:sz="4" w:space="0" w:color="C0C0C0"/>
              <w:right w:val="single" w:sz="4" w:space="0" w:color="000080"/>
            </w:tcBorders>
            <w:shd w:val="clear" w:color="auto" w:fill="auto"/>
            <w:noWrap/>
            <w:vAlign w:val="center"/>
            <w:hideMark/>
          </w:tcPr>
          <w:p w14:paraId="6170F2A7"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11.877.535,06</w:t>
            </w:r>
          </w:p>
        </w:tc>
        <w:tc>
          <w:tcPr>
            <w:tcW w:w="967" w:type="dxa"/>
            <w:tcBorders>
              <w:top w:val="nil"/>
              <w:left w:val="nil"/>
              <w:bottom w:val="single" w:sz="4" w:space="0" w:color="C0C0C0"/>
              <w:right w:val="single" w:sz="4" w:space="0" w:color="000000"/>
            </w:tcBorders>
            <w:shd w:val="clear" w:color="auto" w:fill="auto"/>
            <w:noWrap/>
            <w:vAlign w:val="center"/>
            <w:hideMark/>
          </w:tcPr>
          <w:p w14:paraId="4519DB5E"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107,9</w:t>
            </w:r>
          </w:p>
        </w:tc>
      </w:tr>
      <w:tr w:rsidR="00F774AD" w:rsidRPr="00F774AD" w14:paraId="233F3296" w14:textId="77777777" w:rsidTr="00F774AD">
        <w:trPr>
          <w:trHeight w:val="480"/>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2E779858" w14:textId="77777777" w:rsidR="00F774AD" w:rsidRPr="00F774AD" w:rsidRDefault="00F774AD" w:rsidP="00F774AD">
            <w:pPr>
              <w:rPr>
                <w:rFonts w:ascii="Arial" w:hAnsi="Arial" w:cs="Arial"/>
                <w:sz w:val="18"/>
                <w:szCs w:val="18"/>
              </w:rPr>
            </w:pPr>
            <w:r w:rsidRPr="00F774AD">
              <w:rPr>
                <w:rFonts w:ascii="Arial" w:hAnsi="Arial" w:cs="Arial"/>
                <w:sz w:val="18"/>
                <w:szCs w:val="18"/>
              </w:rPr>
              <w:t>02</w:t>
            </w:r>
          </w:p>
        </w:tc>
        <w:tc>
          <w:tcPr>
            <w:tcW w:w="8766" w:type="dxa"/>
            <w:tcBorders>
              <w:top w:val="nil"/>
              <w:left w:val="nil"/>
              <w:bottom w:val="single" w:sz="4" w:space="0" w:color="C0C0C0"/>
              <w:right w:val="single" w:sz="4" w:space="0" w:color="000080"/>
            </w:tcBorders>
            <w:shd w:val="clear" w:color="auto" w:fill="auto"/>
            <w:vAlign w:val="center"/>
            <w:hideMark/>
          </w:tcPr>
          <w:p w14:paraId="3D1C3DC3" w14:textId="77777777" w:rsidR="00F774AD" w:rsidRPr="00F774AD" w:rsidRDefault="00F774AD" w:rsidP="00F774AD">
            <w:pPr>
              <w:rPr>
                <w:rFonts w:ascii="Arial" w:hAnsi="Arial" w:cs="Arial"/>
                <w:sz w:val="18"/>
                <w:szCs w:val="18"/>
              </w:rPr>
            </w:pPr>
            <w:r w:rsidRPr="00F774AD">
              <w:rPr>
                <w:rFonts w:ascii="Arial" w:hAnsi="Arial" w:cs="Arial"/>
                <w:sz w:val="18"/>
                <w:szCs w:val="18"/>
              </w:rPr>
              <w:t>Proizvedena dugotrajna imovina (šifre '021 i 02921' + '022 i 02922' + '023 i 02923' + '024 i 02924' + '025 i 02925' + '026 i 02926')</w:t>
            </w:r>
          </w:p>
        </w:tc>
        <w:tc>
          <w:tcPr>
            <w:tcW w:w="717" w:type="dxa"/>
            <w:tcBorders>
              <w:top w:val="nil"/>
              <w:left w:val="nil"/>
              <w:bottom w:val="single" w:sz="4" w:space="0" w:color="C0C0C0"/>
              <w:right w:val="single" w:sz="4" w:space="0" w:color="000080"/>
            </w:tcBorders>
            <w:shd w:val="clear" w:color="auto" w:fill="auto"/>
            <w:vAlign w:val="center"/>
            <w:hideMark/>
          </w:tcPr>
          <w:p w14:paraId="7F7A3ADA"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02</w:t>
            </w:r>
          </w:p>
        </w:tc>
        <w:tc>
          <w:tcPr>
            <w:tcW w:w="1481" w:type="dxa"/>
            <w:tcBorders>
              <w:top w:val="nil"/>
              <w:left w:val="nil"/>
              <w:bottom w:val="single" w:sz="4" w:space="0" w:color="C0C0C0"/>
              <w:right w:val="single" w:sz="4" w:space="0" w:color="000080"/>
            </w:tcBorders>
            <w:shd w:val="clear" w:color="auto" w:fill="auto"/>
            <w:noWrap/>
            <w:vAlign w:val="center"/>
            <w:hideMark/>
          </w:tcPr>
          <w:p w14:paraId="0F30B54F"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49.315.968,74</w:t>
            </w:r>
          </w:p>
        </w:tc>
        <w:tc>
          <w:tcPr>
            <w:tcW w:w="1462" w:type="dxa"/>
            <w:tcBorders>
              <w:top w:val="nil"/>
              <w:left w:val="nil"/>
              <w:bottom w:val="single" w:sz="4" w:space="0" w:color="C0C0C0"/>
              <w:right w:val="single" w:sz="4" w:space="0" w:color="000080"/>
            </w:tcBorders>
            <w:shd w:val="clear" w:color="auto" w:fill="auto"/>
            <w:noWrap/>
            <w:vAlign w:val="center"/>
            <w:hideMark/>
          </w:tcPr>
          <w:p w14:paraId="5AA851C4"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61.160.397,03</w:t>
            </w:r>
          </w:p>
        </w:tc>
        <w:tc>
          <w:tcPr>
            <w:tcW w:w="967" w:type="dxa"/>
            <w:tcBorders>
              <w:top w:val="nil"/>
              <w:left w:val="nil"/>
              <w:bottom w:val="single" w:sz="4" w:space="0" w:color="C0C0C0"/>
              <w:right w:val="single" w:sz="4" w:space="0" w:color="000000"/>
            </w:tcBorders>
            <w:shd w:val="clear" w:color="auto" w:fill="auto"/>
            <w:noWrap/>
            <w:vAlign w:val="center"/>
            <w:hideMark/>
          </w:tcPr>
          <w:p w14:paraId="0655C3A5"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124,0</w:t>
            </w:r>
          </w:p>
        </w:tc>
      </w:tr>
      <w:tr w:rsidR="00F774AD" w:rsidRPr="00F774AD" w14:paraId="542B0B7C"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noWrap/>
            <w:vAlign w:val="center"/>
            <w:hideMark/>
          </w:tcPr>
          <w:p w14:paraId="4A846D52" w14:textId="77777777" w:rsidR="00F774AD" w:rsidRPr="00F774AD" w:rsidRDefault="00F774AD" w:rsidP="00F774AD">
            <w:pPr>
              <w:rPr>
                <w:rFonts w:ascii="Arial" w:hAnsi="Arial" w:cs="Arial"/>
                <w:sz w:val="18"/>
                <w:szCs w:val="18"/>
              </w:rPr>
            </w:pPr>
            <w:r w:rsidRPr="00F774AD">
              <w:rPr>
                <w:rFonts w:ascii="Arial" w:hAnsi="Arial" w:cs="Arial"/>
                <w:sz w:val="18"/>
                <w:szCs w:val="18"/>
              </w:rPr>
              <w:t>021 i 02921</w:t>
            </w:r>
          </w:p>
        </w:tc>
        <w:tc>
          <w:tcPr>
            <w:tcW w:w="8766" w:type="dxa"/>
            <w:tcBorders>
              <w:top w:val="nil"/>
              <w:left w:val="nil"/>
              <w:bottom w:val="single" w:sz="4" w:space="0" w:color="C0C0C0"/>
              <w:right w:val="single" w:sz="4" w:space="0" w:color="000080"/>
            </w:tcBorders>
            <w:shd w:val="clear" w:color="auto" w:fill="auto"/>
            <w:vAlign w:val="center"/>
            <w:hideMark/>
          </w:tcPr>
          <w:p w14:paraId="5562D1E8" w14:textId="77777777" w:rsidR="00F774AD" w:rsidRPr="00F774AD" w:rsidRDefault="00F774AD" w:rsidP="00F774AD">
            <w:pPr>
              <w:rPr>
                <w:rFonts w:ascii="Arial" w:hAnsi="Arial" w:cs="Arial"/>
                <w:sz w:val="18"/>
                <w:szCs w:val="18"/>
              </w:rPr>
            </w:pPr>
            <w:r w:rsidRPr="00F774AD">
              <w:rPr>
                <w:rFonts w:ascii="Arial" w:hAnsi="Arial" w:cs="Arial"/>
                <w:sz w:val="18"/>
                <w:szCs w:val="18"/>
              </w:rPr>
              <w:t>Građevinski objekti (šifre 0211 do 0214 - 02921)</w:t>
            </w:r>
          </w:p>
        </w:tc>
        <w:tc>
          <w:tcPr>
            <w:tcW w:w="717" w:type="dxa"/>
            <w:tcBorders>
              <w:top w:val="nil"/>
              <w:left w:val="nil"/>
              <w:bottom w:val="single" w:sz="4" w:space="0" w:color="C0C0C0"/>
              <w:right w:val="single" w:sz="4" w:space="0" w:color="000080"/>
            </w:tcBorders>
            <w:shd w:val="clear" w:color="auto" w:fill="auto"/>
            <w:vAlign w:val="center"/>
            <w:hideMark/>
          </w:tcPr>
          <w:p w14:paraId="4B1B996E"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021 i 02921</w:t>
            </w:r>
          </w:p>
        </w:tc>
        <w:tc>
          <w:tcPr>
            <w:tcW w:w="1481" w:type="dxa"/>
            <w:tcBorders>
              <w:top w:val="nil"/>
              <w:left w:val="nil"/>
              <w:bottom w:val="single" w:sz="4" w:space="0" w:color="C0C0C0"/>
              <w:right w:val="single" w:sz="4" w:space="0" w:color="000080"/>
            </w:tcBorders>
            <w:shd w:val="clear" w:color="auto" w:fill="auto"/>
            <w:noWrap/>
            <w:vAlign w:val="center"/>
            <w:hideMark/>
          </w:tcPr>
          <w:p w14:paraId="7CD9FD3B"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33.212.067,65</w:t>
            </w:r>
          </w:p>
        </w:tc>
        <w:tc>
          <w:tcPr>
            <w:tcW w:w="1462" w:type="dxa"/>
            <w:tcBorders>
              <w:top w:val="nil"/>
              <w:left w:val="nil"/>
              <w:bottom w:val="single" w:sz="4" w:space="0" w:color="C0C0C0"/>
              <w:right w:val="single" w:sz="4" w:space="0" w:color="000080"/>
            </w:tcBorders>
            <w:shd w:val="clear" w:color="auto" w:fill="auto"/>
            <w:noWrap/>
            <w:vAlign w:val="center"/>
            <w:hideMark/>
          </w:tcPr>
          <w:p w14:paraId="51D4AC54"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32.520.202,51</w:t>
            </w:r>
          </w:p>
        </w:tc>
        <w:tc>
          <w:tcPr>
            <w:tcW w:w="967" w:type="dxa"/>
            <w:tcBorders>
              <w:top w:val="nil"/>
              <w:left w:val="nil"/>
              <w:bottom w:val="single" w:sz="4" w:space="0" w:color="C0C0C0"/>
              <w:right w:val="single" w:sz="4" w:space="0" w:color="000000"/>
            </w:tcBorders>
            <w:shd w:val="clear" w:color="auto" w:fill="auto"/>
            <w:noWrap/>
            <w:vAlign w:val="center"/>
            <w:hideMark/>
          </w:tcPr>
          <w:p w14:paraId="66E401EF"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97,9</w:t>
            </w:r>
          </w:p>
        </w:tc>
      </w:tr>
      <w:tr w:rsidR="00F774AD" w:rsidRPr="00F774AD" w14:paraId="0BF4B76F"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12646FD6" w14:textId="77777777" w:rsidR="00F774AD" w:rsidRPr="00F774AD" w:rsidRDefault="00F774AD" w:rsidP="00F774AD">
            <w:pPr>
              <w:rPr>
                <w:rFonts w:ascii="Arial" w:hAnsi="Arial" w:cs="Arial"/>
                <w:sz w:val="18"/>
                <w:szCs w:val="18"/>
              </w:rPr>
            </w:pPr>
            <w:r w:rsidRPr="00F774AD">
              <w:rPr>
                <w:rFonts w:ascii="Arial" w:hAnsi="Arial" w:cs="Arial"/>
                <w:sz w:val="18"/>
                <w:szCs w:val="18"/>
              </w:rPr>
              <w:t>0211</w:t>
            </w:r>
          </w:p>
        </w:tc>
        <w:tc>
          <w:tcPr>
            <w:tcW w:w="8766" w:type="dxa"/>
            <w:tcBorders>
              <w:top w:val="nil"/>
              <w:left w:val="nil"/>
              <w:bottom w:val="single" w:sz="4" w:space="0" w:color="C0C0C0"/>
              <w:right w:val="single" w:sz="4" w:space="0" w:color="000080"/>
            </w:tcBorders>
            <w:shd w:val="clear" w:color="auto" w:fill="auto"/>
            <w:vAlign w:val="center"/>
            <w:hideMark/>
          </w:tcPr>
          <w:p w14:paraId="32232BC6" w14:textId="77777777" w:rsidR="00F774AD" w:rsidRPr="00F774AD" w:rsidRDefault="00F774AD" w:rsidP="00F774AD">
            <w:pPr>
              <w:rPr>
                <w:rFonts w:ascii="Arial" w:hAnsi="Arial" w:cs="Arial"/>
                <w:sz w:val="18"/>
                <w:szCs w:val="18"/>
              </w:rPr>
            </w:pPr>
            <w:r w:rsidRPr="00F774AD">
              <w:rPr>
                <w:rFonts w:ascii="Arial" w:hAnsi="Arial" w:cs="Arial"/>
                <w:sz w:val="18"/>
                <w:szCs w:val="18"/>
              </w:rPr>
              <w:t>Stambeni objekti</w:t>
            </w:r>
          </w:p>
        </w:tc>
        <w:tc>
          <w:tcPr>
            <w:tcW w:w="717" w:type="dxa"/>
            <w:tcBorders>
              <w:top w:val="nil"/>
              <w:left w:val="nil"/>
              <w:bottom w:val="single" w:sz="4" w:space="0" w:color="C0C0C0"/>
              <w:right w:val="single" w:sz="4" w:space="0" w:color="000080"/>
            </w:tcBorders>
            <w:shd w:val="clear" w:color="auto" w:fill="auto"/>
            <w:vAlign w:val="center"/>
            <w:hideMark/>
          </w:tcPr>
          <w:p w14:paraId="0A532C44"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0211</w:t>
            </w:r>
          </w:p>
        </w:tc>
        <w:tc>
          <w:tcPr>
            <w:tcW w:w="1481" w:type="dxa"/>
            <w:tcBorders>
              <w:top w:val="nil"/>
              <w:left w:val="nil"/>
              <w:bottom w:val="single" w:sz="4" w:space="0" w:color="C0C0C0"/>
              <w:right w:val="single" w:sz="4" w:space="0" w:color="000080"/>
            </w:tcBorders>
            <w:shd w:val="clear" w:color="auto" w:fill="auto"/>
            <w:noWrap/>
            <w:vAlign w:val="center"/>
            <w:hideMark/>
          </w:tcPr>
          <w:p w14:paraId="33D5DE4F"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281.742,01</w:t>
            </w:r>
          </w:p>
        </w:tc>
        <w:tc>
          <w:tcPr>
            <w:tcW w:w="1462" w:type="dxa"/>
            <w:tcBorders>
              <w:top w:val="nil"/>
              <w:left w:val="nil"/>
              <w:bottom w:val="single" w:sz="4" w:space="0" w:color="C0C0C0"/>
              <w:right w:val="single" w:sz="4" w:space="0" w:color="000080"/>
            </w:tcBorders>
            <w:shd w:val="clear" w:color="auto" w:fill="auto"/>
            <w:noWrap/>
            <w:vAlign w:val="center"/>
            <w:hideMark/>
          </w:tcPr>
          <w:p w14:paraId="2EBE399E"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245.152,09</w:t>
            </w:r>
          </w:p>
        </w:tc>
        <w:tc>
          <w:tcPr>
            <w:tcW w:w="967" w:type="dxa"/>
            <w:tcBorders>
              <w:top w:val="nil"/>
              <w:left w:val="nil"/>
              <w:bottom w:val="single" w:sz="4" w:space="0" w:color="C0C0C0"/>
              <w:right w:val="single" w:sz="4" w:space="0" w:color="000000"/>
            </w:tcBorders>
            <w:shd w:val="clear" w:color="auto" w:fill="auto"/>
            <w:noWrap/>
            <w:vAlign w:val="center"/>
            <w:hideMark/>
          </w:tcPr>
          <w:p w14:paraId="52B52FB9"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87,0</w:t>
            </w:r>
          </w:p>
        </w:tc>
      </w:tr>
      <w:tr w:rsidR="00F774AD" w:rsidRPr="00F774AD" w14:paraId="4C74368D"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462DCE07" w14:textId="77777777" w:rsidR="00F774AD" w:rsidRPr="00F774AD" w:rsidRDefault="00F774AD" w:rsidP="00F774AD">
            <w:pPr>
              <w:rPr>
                <w:rFonts w:ascii="Arial" w:hAnsi="Arial" w:cs="Arial"/>
                <w:sz w:val="18"/>
                <w:szCs w:val="18"/>
              </w:rPr>
            </w:pPr>
            <w:r w:rsidRPr="00F774AD">
              <w:rPr>
                <w:rFonts w:ascii="Arial" w:hAnsi="Arial" w:cs="Arial"/>
                <w:sz w:val="18"/>
                <w:szCs w:val="18"/>
              </w:rPr>
              <w:t>0212</w:t>
            </w:r>
          </w:p>
        </w:tc>
        <w:tc>
          <w:tcPr>
            <w:tcW w:w="8766" w:type="dxa"/>
            <w:tcBorders>
              <w:top w:val="nil"/>
              <w:left w:val="nil"/>
              <w:bottom w:val="single" w:sz="4" w:space="0" w:color="C0C0C0"/>
              <w:right w:val="single" w:sz="4" w:space="0" w:color="000080"/>
            </w:tcBorders>
            <w:shd w:val="clear" w:color="auto" w:fill="auto"/>
            <w:vAlign w:val="center"/>
            <w:hideMark/>
          </w:tcPr>
          <w:p w14:paraId="6645BEED" w14:textId="77777777" w:rsidR="00F774AD" w:rsidRPr="00F774AD" w:rsidRDefault="00F774AD" w:rsidP="00F774AD">
            <w:pPr>
              <w:rPr>
                <w:rFonts w:ascii="Arial" w:hAnsi="Arial" w:cs="Arial"/>
                <w:sz w:val="18"/>
                <w:szCs w:val="18"/>
              </w:rPr>
            </w:pPr>
            <w:r w:rsidRPr="00F774AD">
              <w:rPr>
                <w:rFonts w:ascii="Arial" w:hAnsi="Arial" w:cs="Arial"/>
                <w:sz w:val="18"/>
                <w:szCs w:val="18"/>
              </w:rPr>
              <w:t>Poslovni objekti</w:t>
            </w:r>
          </w:p>
        </w:tc>
        <w:tc>
          <w:tcPr>
            <w:tcW w:w="717" w:type="dxa"/>
            <w:tcBorders>
              <w:top w:val="nil"/>
              <w:left w:val="nil"/>
              <w:bottom w:val="single" w:sz="4" w:space="0" w:color="C0C0C0"/>
              <w:right w:val="single" w:sz="4" w:space="0" w:color="000080"/>
            </w:tcBorders>
            <w:shd w:val="clear" w:color="auto" w:fill="auto"/>
            <w:vAlign w:val="center"/>
            <w:hideMark/>
          </w:tcPr>
          <w:p w14:paraId="1CBA88E1"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0212</w:t>
            </w:r>
          </w:p>
        </w:tc>
        <w:tc>
          <w:tcPr>
            <w:tcW w:w="1481" w:type="dxa"/>
            <w:tcBorders>
              <w:top w:val="nil"/>
              <w:left w:val="nil"/>
              <w:bottom w:val="single" w:sz="4" w:space="0" w:color="C0C0C0"/>
              <w:right w:val="single" w:sz="4" w:space="0" w:color="000080"/>
            </w:tcBorders>
            <w:shd w:val="clear" w:color="auto" w:fill="auto"/>
            <w:noWrap/>
            <w:vAlign w:val="center"/>
            <w:hideMark/>
          </w:tcPr>
          <w:p w14:paraId="3B21E01A"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21.416.360,65</w:t>
            </w:r>
          </w:p>
        </w:tc>
        <w:tc>
          <w:tcPr>
            <w:tcW w:w="1462" w:type="dxa"/>
            <w:tcBorders>
              <w:top w:val="nil"/>
              <w:left w:val="nil"/>
              <w:bottom w:val="single" w:sz="4" w:space="0" w:color="C0C0C0"/>
              <w:right w:val="single" w:sz="4" w:space="0" w:color="000080"/>
            </w:tcBorders>
            <w:shd w:val="clear" w:color="auto" w:fill="auto"/>
            <w:noWrap/>
            <w:vAlign w:val="center"/>
            <w:hideMark/>
          </w:tcPr>
          <w:p w14:paraId="1D9F2069"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22.038.771,78</w:t>
            </w:r>
          </w:p>
        </w:tc>
        <w:tc>
          <w:tcPr>
            <w:tcW w:w="967" w:type="dxa"/>
            <w:tcBorders>
              <w:top w:val="nil"/>
              <w:left w:val="nil"/>
              <w:bottom w:val="single" w:sz="4" w:space="0" w:color="C0C0C0"/>
              <w:right w:val="single" w:sz="4" w:space="0" w:color="000000"/>
            </w:tcBorders>
            <w:shd w:val="clear" w:color="auto" w:fill="auto"/>
            <w:noWrap/>
            <w:vAlign w:val="center"/>
            <w:hideMark/>
          </w:tcPr>
          <w:p w14:paraId="7CAB2340"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102,9</w:t>
            </w:r>
          </w:p>
        </w:tc>
      </w:tr>
      <w:tr w:rsidR="00F774AD" w:rsidRPr="00F774AD" w14:paraId="1607AEDD"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0A3A0BEA" w14:textId="77777777" w:rsidR="00F774AD" w:rsidRPr="00F774AD" w:rsidRDefault="00F774AD" w:rsidP="00F774AD">
            <w:pPr>
              <w:rPr>
                <w:rFonts w:ascii="Arial" w:hAnsi="Arial" w:cs="Arial"/>
                <w:sz w:val="18"/>
                <w:szCs w:val="18"/>
              </w:rPr>
            </w:pPr>
            <w:r w:rsidRPr="00F774AD">
              <w:rPr>
                <w:rFonts w:ascii="Arial" w:hAnsi="Arial" w:cs="Arial"/>
                <w:sz w:val="18"/>
                <w:szCs w:val="18"/>
              </w:rPr>
              <w:t>0214</w:t>
            </w:r>
          </w:p>
        </w:tc>
        <w:tc>
          <w:tcPr>
            <w:tcW w:w="8766" w:type="dxa"/>
            <w:tcBorders>
              <w:top w:val="nil"/>
              <w:left w:val="nil"/>
              <w:bottom w:val="single" w:sz="4" w:space="0" w:color="C0C0C0"/>
              <w:right w:val="single" w:sz="4" w:space="0" w:color="000080"/>
            </w:tcBorders>
            <w:shd w:val="clear" w:color="auto" w:fill="auto"/>
            <w:vAlign w:val="center"/>
            <w:hideMark/>
          </w:tcPr>
          <w:p w14:paraId="6FE7C79A" w14:textId="77777777" w:rsidR="00F774AD" w:rsidRPr="00F774AD" w:rsidRDefault="00F774AD" w:rsidP="00F774AD">
            <w:pPr>
              <w:rPr>
                <w:rFonts w:ascii="Arial" w:hAnsi="Arial" w:cs="Arial"/>
                <w:sz w:val="18"/>
                <w:szCs w:val="18"/>
              </w:rPr>
            </w:pPr>
            <w:r w:rsidRPr="00F774AD">
              <w:rPr>
                <w:rFonts w:ascii="Arial" w:hAnsi="Arial" w:cs="Arial"/>
                <w:sz w:val="18"/>
                <w:szCs w:val="18"/>
              </w:rPr>
              <w:t>Ostali građevinski objekti</w:t>
            </w:r>
          </w:p>
        </w:tc>
        <w:tc>
          <w:tcPr>
            <w:tcW w:w="717" w:type="dxa"/>
            <w:tcBorders>
              <w:top w:val="nil"/>
              <w:left w:val="nil"/>
              <w:bottom w:val="single" w:sz="4" w:space="0" w:color="C0C0C0"/>
              <w:right w:val="single" w:sz="4" w:space="0" w:color="000080"/>
            </w:tcBorders>
            <w:shd w:val="clear" w:color="auto" w:fill="auto"/>
            <w:vAlign w:val="center"/>
            <w:hideMark/>
          </w:tcPr>
          <w:p w14:paraId="29E1569C"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0214</w:t>
            </w:r>
          </w:p>
        </w:tc>
        <w:tc>
          <w:tcPr>
            <w:tcW w:w="1481" w:type="dxa"/>
            <w:tcBorders>
              <w:top w:val="nil"/>
              <w:left w:val="nil"/>
              <w:bottom w:val="single" w:sz="4" w:space="0" w:color="C0C0C0"/>
              <w:right w:val="single" w:sz="4" w:space="0" w:color="000080"/>
            </w:tcBorders>
            <w:shd w:val="clear" w:color="auto" w:fill="auto"/>
            <w:noWrap/>
            <w:vAlign w:val="center"/>
            <w:hideMark/>
          </w:tcPr>
          <w:p w14:paraId="44C4554B"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20.128.378,35</w:t>
            </w:r>
          </w:p>
        </w:tc>
        <w:tc>
          <w:tcPr>
            <w:tcW w:w="1462" w:type="dxa"/>
            <w:tcBorders>
              <w:top w:val="nil"/>
              <w:left w:val="nil"/>
              <w:bottom w:val="single" w:sz="4" w:space="0" w:color="C0C0C0"/>
              <w:right w:val="single" w:sz="4" w:space="0" w:color="000080"/>
            </w:tcBorders>
            <w:shd w:val="clear" w:color="auto" w:fill="auto"/>
            <w:noWrap/>
            <w:vAlign w:val="center"/>
            <w:hideMark/>
          </w:tcPr>
          <w:p w14:paraId="3B09080C"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20.128.378,35</w:t>
            </w:r>
          </w:p>
        </w:tc>
        <w:tc>
          <w:tcPr>
            <w:tcW w:w="967" w:type="dxa"/>
            <w:tcBorders>
              <w:top w:val="nil"/>
              <w:left w:val="nil"/>
              <w:bottom w:val="single" w:sz="4" w:space="0" w:color="C0C0C0"/>
              <w:right w:val="single" w:sz="4" w:space="0" w:color="000000"/>
            </w:tcBorders>
            <w:shd w:val="clear" w:color="auto" w:fill="auto"/>
            <w:noWrap/>
            <w:vAlign w:val="center"/>
            <w:hideMark/>
          </w:tcPr>
          <w:p w14:paraId="64867A1E"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100,0</w:t>
            </w:r>
          </w:p>
        </w:tc>
      </w:tr>
      <w:tr w:rsidR="00F774AD" w:rsidRPr="00F774AD" w14:paraId="4A1FA8AE"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3FCBFF38" w14:textId="77777777" w:rsidR="00F774AD" w:rsidRPr="00F774AD" w:rsidRDefault="00F774AD" w:rsidP="00F774AD">
            <w:pPr>
              <w:rPr>
                <w:rFonts w:ascii="Arial" w:hAnsi="Arial" w:cs="Arial"/>
                <w:sz w:val="18"/>
                <w:szCs w:val="18"/>
              </w:rPr>
            </w:pPr>
            <w:r w:rsidRPr="00F774AD">
              <w:rPr>
                <w:rFonts w:ascii="Arial" w:hAnsi="Arial" w:cs="Arial"/>
                <w:sz w:val="18"/>
                <w:szCs w:val="18"/>
              </w:rPr>
              <w:t>02921</w:t>
            </w:r>
          </w:p>
        </w:tc>
        <w:tc>
          <w:tcPr>
            <w:tcW w:w="8766" w:type="dxa"/>
            <w:tcBorders>
              <w:top w:val="nil"/>
              <w:left w:val="nil"/>
              <w:bottom w:val="single" w:sz="4" w:space="0" w:color="C0C0C0"/>
              <w:right w:val="single" w:sz="4" w:space="0" w:color="000080"/>
            </w:tcBorders>
            <w:shd w:val="clear" w:color="auto" w:fill="auto"/>
            <w:vAlign w:val="center"/>
            <w:hideMark/>
          </w:tcPr>
          <w:p w14:paraId="100AE442" w14:textId="77777777" w:rsidR="00F774AD" w:rsidRPr="00F774AD" w:rsidRDefault="00F774AD" w:rsidP="00F774AD">
            <w:pPr>
              <w:rPr>
                <w:rFonts w:ascii="Arial" w:hAnsi="Arial" w:cs="Arial"/>
                <w:sz w:val="18"/>
                <w:szCs w:val="18"/>
              </w:rPr>
            </w:pPr>
            <w:r w:rsidRPr="00F774AD">
              <w:rPr>
                <w:rFonts w:ascii="Arial" w:hAnsi="Arial" w:cs="Arial"/>
                <w:sz w:val="18"/>
                <w:szCs w:val="18"/>
              </w:rPr>
              <w:t>Ispravak vrijednosti građevinskih objekata</w:t>
            </w:r>
          </w:p>
        </w:tc>
        <w:tc>
          <w:tcPr>
            <w:tcW w:w="717" w:type="dxa"/>
            <w:tcBorders>
              <w:top w:val="nil"/>
              <w:left w:val="nil"/>
              <w:bottom w:val="single" w:sz="4" w:space="0" w:color="C0C0C0"/>
              <w:right w:val="single" w:sz="4" w:space="0" w:color="000080"/>
            </w:tcBorders>
            <w:shd w:val="clear" w:color="auto" w:fill="auto"/>
            <w:vAlign w:val="center"/>
            <w:hideMark/>
          </w:tcPr>
          <w:p w14:paraId="0CE37472"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02921</w:t>
            </w:r>
          </w:p>
        </w:tc>
        <w:tc>
          <w:tcPr>
            <w:tcW w:w="1481" w:type="dxa"/>
            <w:tcBorders>
              <w:top w:val="nil"/>
              <w:left w:val="nil"/>
              <w:bottom w:val="single" w:sz="4" w:space="0" w:color="C0C0C0"/>
              <w:right w:val="single" w:sz="4" w:space="0" w:color="000080"/>
            </w:tcBorders>
            <w:shd w:val="clear" w:color="auto" w:fill="auto"/>
            <w:noWrap/>
            <w:vAlign w:val="center"/>
            <w:hideMark/>
          </w:tcPr>
          <w:p w14:paraId="0CF7034C"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8.614.413,36</w:t>
            </w:r>
          </w:p>
        </w:tc>
        <w:tc>
          <w:tcPr>
            <w:tcW w:w="1462" w:type="dxa"/>
            <w:tcBorders>
              <w:top w:val="nil"/>
              <w:left w:val="nil"/>
              <w:bottom w:val="single" w:sz="4" w:space="0" w:color="C0C0C0"/>
              <w:right w:val="single" w:sz="4" w:space="0" w:color="000080"/>
            </w:tcBorders>
            <w:shd w:val="clear" w:color="auto" w:fill="auto"/>
            <w:noWrap/>
            <w:vAlign w:val="center"/>
            <w:hideMark/>
          </w:tcPr>
          <w:p w14:paraId="7B4631D4"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9.892.099,71</w:t>
            </w:r>
          </w:p>
        </w:tc>
        <w:tc>
          <w:tcPr>
            <w:tcW w:w="967" w:type="dxa"/>
            <w:tcBorders>
              <w:top w:val="nil"/>
              <w:left w:val="nil"/>
              <w:bottom w:val="single" w:sz="4" w:space="0" w:color="C0C0C0"/>
              <w:right w:val="single" w:sz="4" w:space="0" w:color="000000"/>
            </w:tcBorders>
            <w:shd w:val="clear" w:color="auto" w:fill="auto"/>
            <w:noWrap/>
            <w:vAlign w:val="center"/>
            <w:hideMark/>
          </w:tcPr>
          <w:p w14:paraId="4EF28D32"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114,8</w:t>
            </w:r>
          </w:p>
        </w:tc>
      </w:tr>
      <w:tr w:rsidR="00F774AD" w:rsidRPr="00F774AD" w14:paraId="7D1FD52F"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noWrap/>
            <w:vAlign w:val="center"/>
            <w:hideMark/>
          </w:tcPr>
          <w:p w14:paraId="3B96FC2B" w14:textId="77777777" w:rsidR="00F774AD" w:rsidRPr="00F774AD" w:rsidRDefault="00F774AD" w:rsidP="00F774AD">
            <w:pPr>
              <w:rPr>
                <w:rFonts w:ascii="Arial" w:hAnsi="Arial" w:cs="Arial"/>
                <w:sz w:val="18"/>
                <w:szCs w:val="18"/>
              </w:rPr>
            </w:pPr>
            <w:r w:rsidRPr="00F774AD">
              <w:rPr>
                <w:rFonts w:ascii="Arial" w:hAnsi="Arial" w:cs="Arial"/>
                <w:sz w:val="18"/>
                <w:szCs w:val="18"/>
              </w:rPr>
              <w:t>022 i 02922</w:t>
            </w:r>
          </w:p>
        </w:tc>
        <w:tc>
          <w:tcPr>
            <w:tcW w:w="8766" w:type="dxa"/>
            <w:tcBorders>
              <w:top w:val="nil"/>
              <w:left w:val="nil"/>
              <w:bottom w:val="single" w:sz="4" w:space="0" w:color="C0C0C0"/>
              <w:right w:val="single" w:sz="4" w:space="0" w:color="000080"/>
            </w:tcBorders>
            <w:shd w:val="clear" w:color="auto" w:fill="auto"/>
            <w:vAlign w:val="center"/>
            <w:hideMark/>
          </w:tcPr>
          <w:p w14:paraId="2A54D91C" w14:textId="77777777" w:rsidR="00F774AD" w:rsidRPr="00F774AD" w:rsidRDefault="00F774AD" w:rsidP="00F774AD">
            <w:pPr>
              <w:rPr>
                <w:rFonts w:ascii="Arial" w:hAnsi="Arial" w:cs="Arial"/>
                <w:sz w:val="18"/>
                <w:szCs w:val="18"/>
              </w:rPr>
            </w:pPr>
            <w:r w:rsidRPr="00F774AD">
              <w:rPr>
                <w:rFonts w:ascii="Arial" w:hAnsi="Arial" w:cs="Arial"/>
                <w:sz w:val="18"/>
                <w:szCs w:val="18"/>
              </w:rPr>
              <w:t>Postrojenja i oprema (šifre 0221 do 0228 - 02922)</w:t>
            </w:r>
          </w:p>
        </w:tc>
        <w:tc>
          <w:tcPr>
            <w:tcW w:w="717" w:type="dxa"/>
            <w:tcBorders>
              <w:top w:val="nil"/>
              <w:left w:val="nil"/>
              <w:bottom w:val="single" w:sz="4" w:space="0" w:color="C0C0C0"/>
              <w:right w:val="single" w:sz="4" w:space="0" w:color="000080"/>
            </w:tcBorders>
            <w:shd w:val="clear" w:color="auto" w:fill="auto"/>
            <w:vAlign w:val="center"/>
            <w:hideMark/>
          </w:tcPr>
          <w:p w14:paraId="1419D8B2"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022 i 02922</w:t>
            </w:r>
          </w:p>
        </w:tc>
        <w:tc>
          <w:tcPr>
            <w:tcW w:w="1481" w:type="dxa"/>
            <w:tcBorders>
              <w:top w:val="nil"/>
              <w:left w:val="nil"/>
              <w:bottom w:val="single" w:sz="4" w:space="0" w:color="C0C0C0"/>
              <w:right w:val="single" w:sz="4" w:space="0" w:color="000080"/>
            </w:tcBorders>
            <w:shd w:val="clear" w:color="auto" w:fill="auto"/>
            <w:noWrap/>
            <w:vAlign w:val="center"/>
            <w:hideMark/>
          </w:tcPr>
          <w:p w14:paraId="3E9AF01E"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5.182.663,90</w:t>
            </w:r>
          </w:p>
        </w:tc>
        <w:tc>
          <w:tcPr>
            <w:tcW w:w="1462" w:type="dxa"/>
            <w:tcBorders>
              <w:top w:val="nil"/>
              <w:left w:val="nil"/>
              <w:bottom w:val="single" w:sz="4" w:space="0" w:color="C0C0C0"/>
              <w:right w:val="single" w:sz="4" w:space="0" w:color="000080"/>
            </w:tcBorders>
            <w:shd w:val="clear" w:color="auto" w:fill="auto"/>
            <w:noWrap/>
            <w:vAlign w:val="center"/>
            <w:hideMark/>
          </w:tcPr>
          <w:p w14:paraId="58FA855D"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7.036.190,53</w:t>
            </w:r>
          </w:p>
        </w:tc>
        <w:tc>
          <w:tcPr>
            <w:tcW w:w="967" w:type="dxa"/>
            <w:tcBorders>
              <w:top w:val="nil"/>
              <w:left w:val="nil"/>
              <w:bottom w:val="single" w:sz="4" w:space="0" w:color="C0C0C0"/>
              <w:right w:val="single" w:sz="4" w:space="0" w:color="000000"/>
            </w:tcBorders>
            <w:shd w:val="clear" w:color="auto" w:fill="auto"/>
            <w:noWrap/>
            <w:vAlign w:val="center"/>
            <w:hideMark/>
          </w:tcPr>
          <w:p w14:paraId="1DDB3227"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135,8</w:t>
            </w:r>
          </w:p>
        </w:tc>
      </w:tr>
      <w:tr w:rsidR="00F774AD" w:rsidRPr="00F774AD" w14:paraId="4D8C0C5D"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4942762B" w14:textId="77777777" w:rsidR="00F774AD" w:rsidRPr="00F774AD" w:rsidRDefault="00F774AD" w:rsidP="00F774AD">
            <w:pPr>
              <w:rPr>
                <w:rFonts w:ascii="Arial" w:hAnsi="Arial" w:cs="Arial"/>
                <w:sz w:val="18"/>
                <w:szCs w:val="18"/>
              </w:rPr>
            </w:pPr>
            <w:r w:rsidRPr="00F774AD">
              <w:rPr>
                <w:rFonts w:ascii="Arial" w:hAnsi="Arial" w:cs="Arial"/>
                <w:sz w:val="18"/>
                <w:szCs w:val="18"/>
              </w:rPr>
              <w:t>0221</w:t>
            </w:r>
          </w:p>
        </w:tc>
        <w:tc>
          <w:tcPr>
            <w:tcW w:w="8766" w:type="dxa"/>
            <w:tcBorders>
              <w:top w:val="nil"/>
              <w:left w:val="nil"/>
              <w:bottom w:val="single" w:sz="4" w:space="0" w:color="C0C0C0"/>
              <w:right w:val="single" w:sz="4" w:space="0" w:color="000080"/>
            </w:tcBorders>
            <w:shd w:val="clear" w:color="auto" w:fill="auto"/>
            <w:vAlign w:val="center"/>
            <w:hideMark/>
          </w:tcPr>
          <w:p w14:paraId="15BC2079" w14:textId="77777777" w:rsidR="00F774AD" w:rsidRPr="00F774AD" w:rsidRDefault="00F774AD" w:rsidP="00F774AD">
            <w:pPr>
              <w:rPr>
                <w:rFonts w:ascii="Arial" w:hAnsi="Arial" w:cs="Arial"/>
                <w:sz w:val="18"/>
                <w:szCs w:val="18"/>
              </w:rPr>
            </w:pPr>
            <w:r w:rsidRPr="00F774AD">
              <w:rPr>
                <w:rFonts w:ascii="Arial" w:hAnsi="Arial" w:cs="Arial"/>
                <w:sz w:val="18"/>
                <w:szCs w:val="18"/>
              </w:rPr>
              <w:t>Uredska oprema i namještaj</w:t>
            </w:r>
          </w:p>
        </w:tc>
        <w:tc>
          <w:tcPr>
            <w:tcW w:w="717" w:type="dxa"/>
            <w:tcBorders>
              <w:top w:val="nil"/>
              <w:left w:val="nil"/>
              <w:bottom w:val="single" w:sz="4" w:space="0" w:color="C0C0C0"/>
              <w:right w:val="single" w:sz="4" w:space="0" w:color="000080"/>
            </w:tcBorders>
            <w:shd w:val="clear" w:color="auto" w:fill="auto"/>
            <w:vAlign w:val="center"/>
            <w:hideMark/>
          </w:tcPr>
          <w:p w14:paraId="6D36750E"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0221</w:t>
            </w:r>
          </w:p>
        </w:tc>
        <w:tc>
          <w:tcPr>
            <w:tcW w:w="1481" w:type="dxa"/>
            <w:tcBorders>
              <w:top w:val="nil"/>
              <w:left w:val="nil"/>
              <w:bottom w:val="single" w:sz="4" w:space="0" w:color="C0C0C0"/>
              <w:right w:val="single" w:sz="4" w:space="0" w:color="000080"/>
            </w:tcBorders>
            <w:shd w:val="clear" w:color="auto" w:fill="auto"/>
            <w:noWrap/>
            <w:vAlign w:val="center"/>
            <w:hideMark/>
          </w:tcPr>
          <w:p w14:paraId="5D3595A4"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5.719.837,93</w:t>
            </w:r>
          </w:p>
        </w:tc>
        <w:tc>
          <w:tcPr>
            <w:tcW w:w="1462" w:type="dxa"/>
            <w:tcBorders>
              <w:top w:val="nil"/>
              <w:left w:val="nil"/>
              <w:bottom w:val="single" w:sz="4" w:space="0" w:color="C0C0C0"/>
              <w:right w:val="single" w:sz="4" w:space="0" w:color="000080"/>
            </w:tcBorders>
            <w:shd w:val="clear" w:color="auto" w:fill="auto"/>
            <w:noWrap/>
            <w:vAlign w:val="center"/>
            <w:hideMark/>
          </w:tcPr>
          <w:p w14:paraId="6BBAA2A5"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5.873.765,01</w:t>
            </w:r>
          </w:p>
        </w:tc>
        <w:tc>
          <w:tcPr>
            <w:tcW w:w="967" w:type="dxa"/>
            <w:tcBorders>
              <w:top w:val="nil"/>
              <w:left w:val="nil"/>
              <w:bottom w:val="single" w:sz="4" w:space="0" w:color="C0C0C0"/>
              <w:right w:val="single" w:sz="4" w:space="0" w:color="000000"/>
            </w:tcBorders>
            <w:shd w:val="clear" w:color="auto" w:fill="auto"/>
            <w:noWrap/>
            <w:vAlign w:val="center"/>
            <w:hideMark/>
          </w:tcPr>
          <w:p w14:paraId="71FE8D9F"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102,7</w:t>
            </w:r>
          </w:p>
        </w:tc>
      </w:tr>
      <w:tr w:rsidR="00F774AD" w:rsidRPr="00F774AD" w14:paraId="1B84CF71"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10C33284" w14:textId="77777777" w:rsidR="00F774AD" w:rsidRPr="00F774AD" w:rsidRDefault="00F774AD" w:rsidP="00F774AD">
            <w:pPr>
              <w:rPr>
                <w:rFonts w:ascii="Arial" w:hAnsi="Arial" w:cs="Arial"/>
                <w:sz w:val="18"/>
                <w:szCs w:val="18"/>
              </w:rPr>
            </w:pPr>
            <w:r w:rsidRPr="00F774AD">
              <w:rPr>
                <w:rFonts w:ascii="Arial" w:hAnsi="Arial" w:cs="Arial"/>
                <w:sz w:val="18"/>
                <w:szCs w:val="18"/>
              </w:rPr>
              <w:t>0222</w:t>
            </w:r>
          </w:p>
        </w:tc>
        <w:tc>
          <w:tcPr>
            <w:tcW w:w="8766" w:type="dxa"/>
            <w:tcBorders>
              <w:top w:val="nil"/>
              <w:left w:val="nil"/>
              <w:bottom w:val="single" w:sz="4" w:space="0" w:color="C0C0C0"/>
              <w:right w:val="single" w:sz="4" w:space="0" w:color="000080"/>
            </w:tcBorders>
            <w:shd w:val="clear" w:color="auto" w:fill="auto"/>
            <w:vAlign w:val="center"/>
            <w:hideMark/>
          </w:tcPr>
          <w:p w14:paraId="2B75A68E" w14:textId="77777777" w:rsidR="00F774AD" w:rsidRPr="00F774AD" w:rsidRDefault="00F774AD" w:rsidP="00F774AD">
            <w:pPr>
              <w:rPr>
                <w:rFonts w:ascii="Arial" w:hAnsi="Arial" w:cs="Arial"/>
                <w:sz w:val="18"/>
                <w:szCs w:val="18"/>
              </w:rPr>
            </w:pPr>
            <w:r w:rsidRPr="00F774AD">
              <w:rPr>
                <w:rFonts w:ascii="Arial" w:hAnsi="Arial" w:cs="Arial"/>
                <w:sz w:val="18"/>
                <w:szCs w:val="18"/>
              </w:rPr>
              <w:t>Komunikacijska oprema</w:t>
            </w:r>
          </w:p>
        </w:tc>
        <w:tc>
          <w:tcPr>
            <w:tcW w:w="717" w:type="dxa"/>
            <w:tcBorders>
              <w:top w:val="nil"/>
              <w:left w:val="nil"/>
              <w:bottom w:val="single" w:sz="4" w:space="0" w:color="C0C0C0"/>
              <w:right w:val="single" w:sz="4" w:space="0" w:color="000080"/>
            </w:tcBorders>
            <w:shd w:val="clear" w:color="auto" w:fill="auto"/>
            <w:vAlign w:val="center"/>
            <w:hideMark/>
          </w:tcPr>
          <w:p w14:paraId="5B835CB1"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0222</w:t>
            </w:r>
          </w:p>
        </w:tc>
        <w:tc>
          <w:tcPr>
            <w:tcW w:w="1481" w:type="dxa"/>
            <w:tcBorders>
              <w:top w:val="nil"/>
              <w:left w:val="nil"/>
              <w:bottom w:val="single" w:sz="4" w:space="0" w:color="C0C0C0"/>
              <w:right w:val="single" w:sz="4" w:space="0" w:color="000080"/>
            </w:tcBorders>
            <w:shd w:val="clear" w:color="auto" w:fill="auto"/>
            <w:noWrap/>
            <w:vAlign w:val="center"/>
            <w:hideMark/>
          </w:tcPr>
          <w:p w14:paraId="5987DA9A"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5.896.860,17</w:t>
            </w:r>
          </w:p>
        </w:tc>
        <w:tc>
          <w:tcPr>
            <w:tcW w:w="1462" w:type="dxa"/>
            <w:tcBorders>
              <w:top w:val="nil"/>
              <w:left w:val="nil"/>
              <w:bottom w:val="single" w:sz="4" w:space="0" w:color="C0C0C0"/>
              <w:right w:val="single" w:sz="4" w:space="0" w:color="000080"/>
            </w:tcBorders>
            <w:shd w:val="clear" w:color="auto" w:fill="auto"/>
            <w:noWrap/>
            <w:vAlign w:val="center"/>
            <w:hideMark/>
          </w:tcPr>
          <w:p w14:paraId="4BDA19CA"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7.064.061,78</w:t>
            </w:r>
          </w:p>
        </w:tc>
        <w:tc>
          <w:tcPr>
            <w:tcW w:w="967" w:type="dxa"/>
            <w:tcBorders>
              <w:top w:val="nil"/>
              <w:left w:val="nil"/>
              <w:bottom w:val="single" w:sz="4" w:space="0" w:color="C0C0C0"/>
              <w:right w:val="single" w:sz="4" w:space="0" w:color="000000"/>
            </w:tcBorders>
            <w:shd w:val="clear" w:color="auto" w:fill="auto"/>
            <w:noWrap/>
            <w:vAlign w:val="center"/>
            <w:hideMark/>
          </w:tcPr>
          <w:p w14:paraId="091C3E0B"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119,8</w:t>
            </w:r>
          </w:p>
        </w:tc>
      </w:tr>
      <w:tr w:rsidR="00F774AD" w:rsidRPr="00F774AD" w14:paraId="01CAEC33"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5116D24E" w14:textId="77777777" w:rsidR="00F774AD" w:rsidRPr="00F774AD" w:rsidRDefault="00F774AD" w:rsidP="00F774AD">
            <w:pPr>
              <w:rPr>
                <w:rFonts w:ascii="Arial" w:hAnsi="Arial" w:cs="Arial"/>
                <w:sz w:val="18"/>
                <w:szCs w:val="18"/>
              </w:rPr>
            </w:pPr>
            <w:r w:rsidRPr="00F774AD">
              <w:rPr>
                <w:rFonts w:ascii="Arial" w:hAnsi="Arial" w:cs="Arial"/>
                <w:sz w:val="18"/>
                <w:szCs w:val="18"/>
              </w:rPr>
              <w:t>0223</w:t>
            </w:r>
          </w:p>
        </w:tc>
        <w:tc>
          <w:tcPr>
            <w:tcW w:w="8766" w:type="dxa"/>
            <w:tcBorders>
              <w:top w:val="nil"/>
              <w:left w:val="nil"/>
              <w:bottom w:val="single" w:sz="4" w:space="0" w:color="C0C0C0"/>
              <w:right w:val="single" w:sz="4" w:space="0" w:color="000080"/>
            </w:tcBorders>
            <w:shd w:val="clear" w:color="auto" w:fill="auto"/>
            <w:vAlign w:val="center"/>
            <w:hideMark/>
          </w:tcPr>
          <w:p w14:paraId="738ED346" w14:textId="77777777" w:rsidR="00F774AD" w:rsidRPr="00F774AD" w:rsidRDefault="00F774AD" w:rsidP="00F774AD">
            <w:pPr>
              <w:rPr>
                <w:rFonts w:ascii="Arial" w:hAnsi="Arial" w:cs="Arial"/>
                <w:sz w:val="18"/>
                <w:szCs w:val="18"/>
              </w:rPr>
            </w:pPr>
            <w:r w:rsidRPr="00F774AD">
              <w:rPr>
                <w:rFonts w:ascii="Arial" w:hAnsi="Arial" w:cs="Arial"/>
                <w:sz w:val="18"/>
                <w:szCs w:val="18"/>
              </w:rPr>
              <w:t>Oprema za održavanje i zaštitu</w:t>
            </w:r>
          </w:p>
        </w:tc>
        <w:tc>
          <w:tcPr>
            <w:tcW w:w="717" w:type="dxa"/>
            <w:tcBorders>
              <w:top w:val="nil"/>
              <w:left w:val="nil"/>
              <w:bottom w:val="single" w:sz="4" w:space="0" w:color="C0C0C0"/>
              <w:right w:val="single" w:sz="4" w:space="0" w:color="000080"/>
            </w:tcBorders>
            <w:shd w:val="clear" w:color="auto" w:fill="auto"/>
            <w:vAlign w:val="center"/>
            <w:hideMark/>
          </w:tcPr>
          <w:p w14:paraId="494C1592"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0223</w:t>
            </w:r>
          </w:p>
        </w:tc>
        <w:tc>
          <w:tcPr>
            <w:tcW w:w="1481" w:type="dxa"/>
            <w:tcBorders>
              <w:top w:val="nil"/>
              <w:left w:val="nil"/>
              <w:bottom w:val="single" w:sz="4" w:space="0" w:color="C0C0C0"/>
              <w:right w:val="single" w:sz="4" w:space="0" w:color="000080"/>
            </w:tcBorders>
            <w:shd w:val="clear" w:color="auto" w:fill="auto"/>
            <w:noWrap/>
            <w:vAlign w:val="center"/>
            <w:hideMark/>
          </w:tcPr>
          <w:p w14:paraId="06E466AC"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691.785,42</w:t>
            </w:r>
          </w:p>
        </w:tc>
        <w:tc>
          <w:tcPr>
            <w:tcW w:w="1462" w:type="dxa"/>
            <w:tcBorders>
              <w:top w:val="nil"/>
              <w:left w:val="nil"/>
              <w:bottom w:val="single" w:sz="4" w:space="0" w:color="C0C0C0"/>
              <w:right w:val="single" w:sz="4" w:space="0" w:color="000080"/>
            </w:tcBorders>
            <w:shd w:val="clear" w:color="auto" w:fill="auto"/>
            <w:noWrap/>
            <w:vAlign w:val="center"/>
            <w:hideMark/>
          </w:tcPr>
          <w:p w14:paraId="034385CB"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717.036,27</w:t>
            </w:r>
          </w:p>
        </w:tc>
        <w:tc>
          <w:tcPr>
            <w:tcW w:w="967" w:type="dxa"/>
            <w:tcBorders>
              <w:top w:val="nil"/>
              <w:left w:val="nil"/>
              <w:bottom w:val="single" w:sz="4" w:space="0" w:color="C0C0C0"/>
              <w:right w:val="single" w:sz="4" w:space="0" w:color="000000"/>
            </w:tcBorders>
            <w:shd w:val="clear" w:color="auto" w:fill="auto"/>
            <w:noWrap/>
            <w:vAlign w:val="center"/>
            <w:hideMark/>
          </w:tcPr>
          <w:p w14:paraId="50705DCA"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103,7</w:t>
            </w:r>
          </w:p>
        </w:tc>
      </w:tr>
      <w:tr w:rsidR="00F774AD" w:rsidRPr="00F774AD" w14:paraId="71C253B4"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60D41487" w14:textId="77777777" w:rsidR="00F774AD" w:rsidRPr="00F774AD" w:rsidRDefault="00F774AD" w:rsidP="00F774AD">
            <w:pPr>
              <w:rPr>
                <w:rFonts w:ascii="Arial" w:hAnsi="Arial" w:cs="Arial"/>
                <w:sz w:val="18"/>
                <w:szCs w:val="18"/>
              </w:rPr>
            </w:pPr>
            <w:r w:rsidRPr="00F774AD">
              <w:rPr>
                <w:rFonts w:ascii="Arial" w:hAnsi="Arial" w:cs="Arial"/>
                <w:sz w:val="18"/>
                <w:szCs w:val="18"/>
              </w:rPr>
              <w:t>0224</w:t>
            </w:r>
          </w:p>
        </w:tc>
        <w:tc>
          <w:tcPr>
            <w:tcW w:w="8766" w:type="dxa"/>
            <w:tcBorders>
              <w:top w:val="nil"/>
              <w:left w:val="nil"/>
              <w:bottom w:val="single" w:sz="4" w:space="0" w:color="C0C0C0"/>
              <w:right w:val="single" w:sz="4" w:space="0" w:color="000080"/>
            </w:tcBorders>
            <w:shd w:val="clear" w:color="auto" w:fill="auto"/>
            <w:vAlign w:val="center"/>
            <w:hideMark/>
          </w:tcPr>
          <w:p w14:paraId="43245B22" w14:textId="77777777" w:rsidR="00F774AD" w:rsidRPr="00F774AD" w:rsidRDefault="00F774AD" w:rsidP="00F774AD">
            <w:pPr>
              <w:rPr>
                <w:rFonts w:ascii="Arial" w:hAnsi="Arial" w:cs="Arial"/>
                <w:sz w:val="18"/>
                <w:szCs w:val="18"/>
              </w:rPr>
            </w:pPr>
            <w:r w:rsidRPr="00F774AD">
              <w:rPr>
                <w:rFonts w:ascii="Arial" w:hAnsi="Arial" w:cs="Arial"/>
                <w:sz w:val="18"/>
                <w:szCs w:val="18"/>
              </w:rPr>
              <w:t>Medicinska i laboratorijska oprema</w:t>
            </w:r>
          </w:p>
        </w:tc>
        <w:tc>
          <w:tcPr>
            <w:tcW w:w="717" w:type="dxa"/>
            <w:tcBorders>
              <w:top w:val="nil"/>
              <w:left w:val="nil"/>
              <w:bottom w:val="single" w:sz="4" w:space="0" w:color="C0C0C0"/>
              <w:right w:val="single" w:sz="4" w:space="0" w:color="000080"/>
            </w:tcBorders>
            <w:shd w:val="clear" w:color="auto" w:fill="auto"/>
            <w:vAlign w:val="center"/>
            <w:hideMark/>
          </w:tcPr>
          <w:p w14:paraId="64C8FAE5"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0224</w:t>
            </w:r>
          </w:p>
        </w:tc>
        <w:tc>
          <w:tcPr>
            <w:tcW w:w="1481" w:type="dxa"/>
            <w:tcBorders>
              <w:top w:val="nil"/>
              <w:left w:val="nil"/>
              <w:bottom w:val="single" w:sz="4" w:space="0" w:color="C0C0C0"/>
              <w:right w:val="single" w:sz="4" w:space="0" w:color="000080"/>
            </w:tcBorders>
            <w:shd w:val="clear" w:color="auto" w:fill="auto"/>
            <w:noWrap/>
            <w:vAlign w:val="center"/>
            <w:hideMark/>
          </w:tcPr>
          <w:p w14:paraId="0D4E1157"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2.017,55</w:t>
            </w:r>
          </w:p>
        </w:tc>
        <w:tc>
          <w:tcPr>
            <w:tcW w:w="1462" w:type="dxa"/>
            <w:tcBorders>
              <w:top w:val="nil"/>
              <w:left w:val="nil"/>
              <w:bottom w:val="single" w:sz="4" w:space="0" w:color="C0C0C0"/>
              <w:right w:val="single" w:sz="4" w:space="0" w:color="000080"/>
            </w:tcBorders>
            <w:shd w:val="clear" w:color="auto" w:fill="auto"/>
            <w:noWrap/>
            <w:vAlign w:val="center"/>
            <w:hideMark/>
          </w:tcPr>
          <w:p w14:paraId="06FBEA89"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2.017,55</w:t>
            </w:r>
          </w:p>
        </w:tc>
        <w:tc>
          <w:tcPr>
            <w:tcW w:w="967" w:type="dxa"/>
            <w:tcBorders>
              <w:top w:val="nil"/>
              <w:left w:val="nil"/>
              <w:bottom w:val="single" w:sz="4" w:space="0" w:color="C0C0C0"/>
              <w:right w:val="single" w:sz="4" w:space="0" w:color="000000"/>
            </w:tcBorders>
            <w:shd w:val="clear" w:color="auto" w:fill="auto"/>
            <w:noWrap/>
            <w:vAlign w:val="center"/>
            <w:hideMark/>
          </w:tcPr>
          <w:p w14:paraId="09613887"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100,0</w:t>
            </w:r>
          </w:p>
        </w:tc>
      </w:tr>
      <w:tr w:rsidR="00F774AD" w:rsidRPr="00F774AD" w14:paraId="4BFCD37C"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4712173A" w14:textId="77777777" w:rsidR="00F774AD" w:rsidRPr="00F774AD" w:rsidRDefault="00F774AD" w:rsidP="00F774AD">
            <w:pPr>
              <w:rPr>
                <w:rFonts w:ascii="Arial" w:hAnsi="Arial" w:cs="Arial"/>
                <w:sz w:val="18"/>
                <w:szCs w:val="18"/>
              </w:rPr>
            </w:pPr>
            <w:r w:rsidRPr="00F774AD">
              <w:rPr>
                <w:rFonts w:ascii="Arial" w:hAnsi="Arial" w:cs="Arial"/>
                <w:sz w:val="18"/>
                <w:szCs w:val="18"/>
              </w:rPr>
              <w:t>0225</w:t>
            </w:r>
          </w:p>
        </w:tc>
        <w:tc>
          <w:tcPr>
            <w:tcW w:w="8766" w:type="dxa"/>
            <w:tcBorders>
              <w:top w:val="nil"/>
              <w:left w:val="nil"/>
              <w:bottom w:val="single" w:sz="4" w:space="0" w:color="C0C0C0"/>
              <w:right w:val="single" w:sz="4" w:space="0" w:color="000080"/>
            </w:tcBorders>
            <w:shd w:val="clear" w:color="auto" w:fill="auto"/>
            <w:vAlign w:val="center"/>
            <w:hideMark/>
          </w:tcPr>
          <w:p w14:paraId="1C11E935" w14:textId="77777777" w:rsidR="00F774AD" w:rsidRPr="00F774AD" w:rsidRDefault="00F774AD" w:rsidP="00F774AD">
            <w:pPr>
              <w:rPr>
                <w:rFonts w:ascii="Arial" w:hAnsi="Arial" w:cs="Arial"/>
                <w:sz w:val="18"/>
                <w:szCs w:val="18"/>
              </w:rPr>
            </w:pPr>
            <w:r w:rsidRPr="00F774AD">
              <w:rPr>
                <w:rFonts w:ascii="Arial" w:hAnsi="Arial" w:cs="Arial"/>
                <w:sz w:val="18"/>
                <w:szCs w:val="18"/>
              </w:rPr>
              <w:t xml:space="preserve">Instrumenti </w:t>
            </w:r>
            <w:r w:rsidRPr="00F774AD">
              <w:rPr>
                <w:rFonts w:ascii="Arial" w:hAnsi="Arial" w:cs="Arial"/>
                <w:color w:val="00B050"/>
                <w:sz w:val="18"/>
                <w:szCs w:val="18"/>
              </w:rPr>
              <w:t>i</w:t>
            </w:r>
            <w:r w:rsidRPr="00F774AD">
              <w:rPr>
                <w:rFonts w:ascii="Arial" w:hAnsi="Arial" w:cs="Arial"/>
                <w:color w:val="9BBB59"/>
                <w:sz w:val="18"/>
                <w:szCs w:val="18"/>
              </w:rPr>
              <w:t xml:space="preserve"> </w:t>
            </w:r>
            <w:r w:rsidRPr="00F774AD">
              <w:rPr>
                <w:rFonts w:ascii="Arial" w:hAnsi="Arial" w:cs="Arial"/>
                <w:sz w:val="18"/>
                <w:szCs w:val="18"/>
              </w:rPr>
              <w:t>uređaji</w:t>
            </w:r>
          </w:p>
        </w:tc>
        <w:tc>
          <w:tcPr>
            <w:tcW w:w="717" w:type="dxa"/>
            <w:tcBorders>
              <w:top w:val="nil"/>
              <w:left w:val="nil"/>
              <w:bottom w:val="single" w:sz="4" w:space="0" w:color="C0C0C0"/>
              <w:right w:val="single" w:sz="4" w:space="0" w:color="000080"/>
            </w:tcBorders>
            <w:shd w:val="clear" w:color="auto" w:fill="auto"/>
            <w:vAlign w:val="center"/>
            <w:hideMark/>
          </w:tcPr>
          <w:p w14:paraId="762C67A0"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0225</w:t>
            </w:r>
          </w:p>
        </w:tc>
        <w:tc>
          <w:tcPr>
            <w:tcW w:w="1481" w:type="dxa"/>
            <w:tcBorders>
              <w:top w:val="nil"/>
              <w:left w:val="nil"/>
              <w:bottom w:val="single" w:sz="4" w:space="0" w:color="C0C0C0"/>
              <w:right w:val="single" w:sz="4" w:space="0" w:color="000080"/>
            </w:tcBorders>
            <w:shd w:val="clear" w:color="auto" w:fill="auto"/>
            <w:noWrap/>
            <w:vAlign w:val="center"/>
            <w:hideMark/>
          </w:tcPr>
          <w:p w14:paraId="20904902"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507.798,86</w:t>
            </w:r>
          </w:p>
        </w:tc>
        <w:tc>
          <w:tcPr>
            <w:tcW w:w="1462" w:type="dxa"/>
            <w:tcBorders>
              <w:top w:val="nil"/>
              <w:left w:val="nil"/>
              <w:bottom w:val="single" w:sz="4" w:space="0" w:color="C0C0C0"/>
              <w:right w:val="single" w:sz="4" w:space="0" w:color="000080"/>
            </w:tcBorders>
            <w:shd w:val="clear" w:color="auto" w:fill="auto"/>
            <w:noWrap/>
            <w:vAlign w:val="center"/>
            <w:hideMark/>
          </w:tcPr>
          <w:p w14:paraId="5A4D8A25"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507.503,46</w:t>
            </w:r>
          </w:p>
        </w:tc>
        <w:tc>
          <w:tcPr>
            <w:tcW w:w="967" w:type="dxa"/>
            <w:tcBorders>
              <w:top w:val="nil"/>
              <w:left w:val="nil"/>
              <w:bottom w:val="single" w:sz="4" w:space="0" w:color="C0C0C0"/>
              <w:right w:val="single" w:sz="4" w:space="0" w:color="000000"/>
            </w:tcBorders>
            <w:shd w:val="clear" w:color="auto" w:fill="auto"/>
            <w:noWrap/>
            <w:vAlign w:val="center"/>
            <w:hideMark/>
          </w:tcPr>
          <w:p w14:paraId="6BB9A506"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99,9</w:t>
            </w:r>
          </w:p>
        </w:tc>
      </w:tr>
      <w:tr w:rsidR="00F774AD" w:rsidRPr="00F774AD" w14:paraId="01F24FFA"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2511A83D" w14:textId="77777777" w:rsidR="00F774AD" w:rsidRPr="00F774AD" w:rsidRDefault="00F774AD" w:rsidP="00F774AD">
            <w:pPr>
              <w:rPr>
                <w:rFonts w:ascii="Arial" w:hAnsi="Arial" w:cs="Arial"/>
                <w:sz w:val="18"/>
                <w:szCs w:val="18"/>
              </w:rPr>
            </w:pPr>
            <w:r w:rsidRPr="00F774AD">
              <w:rPr>
                <w:rFonts w:ascii="Arial" w:hAnsi="Arial" w:cs="Arial"/>
                <w:sz w:val="18"/>
                <w:szCs w:val="18"/>
              </w:rPr>
              <w:t>0227</w:t>
            </w:r>
          </w:p>
        </w:tc>
        <w:tc>
          <w:tcPr>
            <w:tcW w:w="8766" w:type="dxa"/>
            <w:tcBorders>
              <w:top w:val="nil"/>
              <w:left w:val="nil"/>
              <w:bottom w:val="single" w:sz="4" w:space="0" w:color="C0C0C0"/>
              <w:right w:val="single" w:sz="4" w:space="0" w:color="000080"/>
            </w:tcBorders>
            <w:shd w:val="clear" w:color="auto" w:fill="auto"/>
            <w:vAlign w:val="center"/>
            <w:hideMark/>
          </w:tcPr>
          <w:p w14:paraId="316FE063" w14:textId="77777777" w:rsidR="00F774AD" w:rsidRPr="00F774AD" w:rsidRDefault="00F774AD" w:rsidP="00F774AD">
            <w:pPr>
              <w:rPr>
                <w:rFonts w:ascii="Arial" w:hAnsi="Arial" w:cs="Arial"/>
                <w:sz w:val="18"/>
                <w:szCs w:val="18"/>
              </w:rPr>
            </w:pPr>
            <w:r w:rsidRPr="00F774AD">
              <w:rPr>
                <w:rFonts w:ascii="Arial" w:hAnsi="Arial" w:cs="Arial"/>
                <w:sz w:val="18"/>
                <w:szCs w:val="18"/>
              </w:rPr>
              <w:t>Uređaji, strojevi i oprema za ostale namjene</w:t>
            </w:r>
          </w:p>
        </w:tc>
        <w:tc>
          <w:tcPr>
            <w:tcW w:w="717" w:type="dxa"/>
            <w:tcBorders>
              <w:top w:val="nil"/>
              <w:left w:val="nil"/>
              <w:bottom w:val="single" w:sz="4" w:space="0" w:color="C0C0C0"/>
              <w:right w:val="single" w:sz="4" w:space="0" w:color="000080"/>
            </w:tcBorders>
            <w:shd w:val="clear" w:color="auto" w:fill="auto"/>
            <w:vAlign w:val="center"/>
            <w:hideMark/>
          </w:tcPr>
          <w:p w14:paraId="2C000098"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0227</w:t>
            </w:r>
          </w:p>
        </w:tc>
        <w:tc>
          <w:tcPr>
            <w:tcW w:w="1481" w:type="dxa"/>
            <w:tcBorders>
              <w:top w:val="nil"/>
              <w:left w:val="nil"/>
              <w:bottom w:val="single" w:sz="4" w:space="0" w:color="C0C0C0"/>
              <w:right w:val="single" w:sz="4" w:space="0" w:color="000080"/>
            </w:tcBorders>
            <w:shd w:val="clear" w:color="auto" w:fill="auto"/>
            <w:noWrap/>
            <w:vAlign w:val="center"/>
            <w:hideMark/>
          </w:tcPr>
          <w:p w14:paraId="17239DC4"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9.902.953,14</w:t>
            </w:r>
          </w:p>
        </w:tc>
        <w:tc>
          <w:tcPr>
            <w:tcW w:w="1462" w:type="dxa"/>
            <w:tcBorders>
              <w:top w:val="nil"/>
              <w:left w:val="nil"/>
              <w:bottom w:val="single" w:sz="4" w:space="0" w:color="C0C0C0"/>
              <w:right w:val="single" w:sz="4" w:space="0" w:color="000080"/>
            </w:tcBorders>
            <w:shd w:val="clear" w:color="auto" w:fill="auto"/>
            <w:noWrap/>
            <w:vAlign w:val="center"/>
            <w:hideMark/>
          </w:tcPr>
          <w:p w14:paraId="4C6813D0"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11.634.317,68</w:t>
            </w:r>
          </w:p>
        </w:tc>
        <w:tc>
          <w:tcPr>
            <w:tcW w:w="967" w:type="dxa"/>
            <w:tcBorders>
              <w:top w:val="nil"/>
              <w:left w:val="nil"/>
              <w:bottom w:val="single" w:sz="4" w:space="0" w:color="C0C0C0"/>
              <w:right w:val="single" w:sz="4" w:space="0" w:color="000000"/>
            </w:tcBorders>
            <w:shd w:val="clear" w:color="auto" w:fill="auto"/>
            <w:noWrap/>
            <w:vAlign w:val="center"/>
            <w:hideMark/>
          </w:tcPr>
          <w:p w14:paraId="4FCCE176"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117,5</w:t>
            </w:r>
          </w:p>
        </w:tc>
      </w:tr>
      <w:tr w:rsidR="00F774AD" w:rsidRPr="00F774AD" w14:paraId="7FC6E991"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157F89D7" w14:textId="77777777" w:rsidR="00F774AD" w:rsidRPr="00F774AD" w:rsidRDefault="00F774AD" w:rsidP="00F774AD">
            <w:pPr>
              <w:rPr>
                <w:rFonts w:ascii="Arial" w:hAnsi="Arial" w:cs="Arial"/>
                <w:sz w:val="18"/>
                <w:szCs w:val="18"/>
              </w:rPr>
            </w:pPr>
            <w:r w:rsidRPr="00F774AD">
              <w:rPr>
                <w:rFonts w:ascii="Arial" w:hAnsi="Arial" w:cs="Arial"/>
                <w:sz w:val="18"/>
                <w:szCs w:val="18"/>
              </w:rPr>
              <w:t>02922</w:t>
            </w:r>
          </w:p>
        </w:tc>
        <w:tc>
          <w:tcPr>
            <w:tcW w:w="8766" w:type="dxa"/>
            <w:tcBorders>
              <w:top w:val="nil"/>
              <w:left w:val="nil"/>
              <w:bottom w:val="single" w:sz="4" w:space="0" w:color="C0C0C0"/>
              <w:right w:val="single" w:sz="4" w:space="0" w:color="000080"/>
            </w:tcBorders>
            <w:shd w:val="clear" w:color="auto" w:fill="auto"/>
            <w:vAlign w:val="center"/>
            <w:hideMark/>
          </w:tcPr>
          <w:p w14:paraId="58D7B29A" w14:textId="77777777" w:rsidR="00F774AD" w:rsidRPr="00F774AD" w:rsidRDefault="00F774AD" w:rsidP="00F774AD">
            <w:pPr>
              <w:rPr>
                <w:rFonts w:ascii="Arial" w:hAnsi="Arial" w:cs="Arial"/>
                <w:sz w:val="18"/>
                <w:szCs w:val="18"/>
              </w:rPr>
            </w:pPr>
            <w:r w:rsidRPr="00F774AD">
              <w:rPr>
                <w:rFonts w:ascii="Arial" w:hAnsi="Arial" w:cs="Arial"/>
                <w:sz w:val="18"/>
                <w:szCs w:val="18"/>
              </w:rPr>
              <w:t>Ispravak vrijednosti postrojenja i opreme</w:t>
            </w:r>
          </w:p>
        </w:tc>
        <w:tc>
          <w:tcPr>
            <w:tcW w:w="717" w:type="dxa"/>
            <w:tcBorders>
              <w:top w:val="nil"/>
              <w:left w:val="nil"/>
              <w:bottom w:val="single" w:sz="4" w:space="0" w:color="C0C0C0"/>
              <w:right w:val="single" w:sz="4" w:space="0" w:color="000080"/>
            </w:tcBorders>
            <w:shd w:val="clear" w:color="auto" w:fill="auto"/>
            <w:vAlign w:val="center"/>
            <w:hideMark/>
          </w:tcPr>
          <w:p w14:paraId="65EBB24F"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02922</w:t>
            </w:r>
          </w:p>
        </w:tc>
        <w:tc>
          <w:tcPr>
            <w:tcW w:w="1481" w:type="dxa"/>
            <w:tcBorders>
              <w:top w:val="nil"/>
              <w:left w:val="nil"/>
              <w:bottom w:val="single" w:sz="4" w:space="0" w:color="C0C0C0"/>
              <w:right w:val="single" w:sz="4" w:space="0" w:color="000080"/>
            </w:tcBorders>
            <w:shd w:val="clear" w:color="auto" w:fill="auto"/>
            <w:noWrap/>
            <w:vAlign w:val="center"/>
            <w:hideMark/>
          </w:tcPr>
          <w:p w14:paraId="1E245DEA"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17.538.589,17</w:t>
            </w:r>
          </w:p>
        </w:tc>
        <w:tc>
          <w:tcPr>
            <w:tcW w:w="1462" w:type="dxa"/>
            <w:tcBorders>
              <w:top w:val="nil"/>
              <w:left w:val="nil"/>
              <w:bottom w:val="single" w:sz="4" w:space="0" w:color="C0C0C0"/>
              <w:right w:val="single" w:sz="4" w:space="0" w:color="000080"/>
            </w:tcBorders>
            <w:shd w:val="clear" w:color="auto" w:fill="auto"/>
            <w:noWrap/>
            <w:vAlign w:val="center"/>
            <w:hideMark/>
          </w:tcPr>
          <w:p w14:paraId="74338BFB"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18.762.511,22</w:t>
            </w:r>
          </w:p>
        </w:tc>
        <w:tc>
          <w:tcPr>
            <w:tcW w:w="967" w:type="dxa"/>
            <w:tcBorders>
              <w:top w:val="nil"/>
              <w:left w:val="nil"/>
              <w:bottom w:val="single" w:sz="4" w:space="0" w:color="C0C0C0"/>
              <w:right w:val="single" w:sz="4" w:space="0" w:color="000000"/>
            </w:tcBorders>
            <w:shd w:val="clear" w:color="auto" w:fill="auto"/>
            <w:noWrap/>
            <w:vAlign w:val="center"/>
            <w:hideMark/>
          </w:tcPr>
          <w:p w14:paraId="788E224D"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107,0</w:t>
            </w:r>
          </w:p>
        </w:tc>
      </w:tr>
      <w:tr w:rsidR="00F774AD" w:rsidRPr="00F774AD" w14:paraId="610E6D9F"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noWrap/>
            <w:vAlign w:val="center"/>
            <w:hideMark/>
          </w:tcPr>
          <w:p w14:paraId="0CFB5AC9" w14:textId="77777777" w:rsidR="00F774AD" w:rsidRPr="00F774AD" w:rsidRDefault="00F774AD" w:rsidP="00F774AD">
            <w:pPr>
              <w:rPr>
                <w:rFonts w:ascii="Arial" w:hAnsi="Arial" w:cs="Arial"/>
                <w:sz w:val="18"/>
                <w:szCs w:val="18"/>
              </w:rPr>
            </w:pPr>
            <w:r w:rsidRPr="00F774AD">
              <w:rPr>
                <w:rFonts w:ascii="Arial" w:hAnsi="Arial" w:cs="Arial"/>
                <w:sz w:val="18"/>
                <w:szCs w:val="18"/>
              </w:rPr>
              <w:t>023 i 02923</w:t>
            </w:r>
          </w:p>
        </w:tc>
        <w:tc>
          <w:tcPr>
            <w:tcW w:w="8766" w:type="dxa"/>
            <w:tcBorders>
              <w:top w:val="nil"/>
              <w:left w:val="nil"/>
              <w:bottom w:val="single" w:sz="4" w:space="0" w:color="C0C0C0"/>
              <w:right w:val="single" w:sz="4" w:space="0" w:color="000080"/>
            </w:tcBorders>
            <w:shd w:val="clear" w:color="auto" w:fill="auto"/>
            <w:vAlign w:val="center"/>
            <w:hideMark/>
          </w:tcPr>
          <w:p w14:paraId="21D69548" w14:textId="77777777" w:rsidR="00F774AD" w:rsidRPr="00F774AD" w:rsidRDefault="00F774AD" w:rsidP="00F774AD">
            <w:pPr>
              <w:rPr>
                <w:rFonts w:ascii="Arial" w:hAnsi="Arial" w:cs="Arial"/>
                <w:sz w:val="18"/>
                <w:szCs w:val="18"/>
              </w:rPr>
            </w:pPr>
            <w:r w:rsidRPr="00F774AD">
              <w:rPr>
                <w:rFonts w:ascii="Arial" w:hAnsi="Arial" w:cs="Arial"/>
                <w:sz w:val="18"/>
                <w:szCs w:val="18"/>
              </w:rPr>
              <w:t>Prijevozna sredstva (šifre 0231 do 0234 - 02923)</w:t>
            </w:r>
          </w:p>
        </w:tc>
        <w:tc>
          <w:tcPr>
            <w:tcW w:w="717" w:type="dxa"/>
            <w:tcBorders>
              <w:top w:val="nil"/>
              <w:left w:val="nil"/>
              <w:bottom w:val="single" w:sz="4" w:space="0" w:color="C0C0C0"/>
              <w:right w:val="single" w:sz="4" w:space="0" w:color="000080"/>
            </w:tcBorders>
            <w:shd w:val="clear" w:color="auto" w:fill="auto"/>
            <w:vAlign w:val="center"/>
            <w:hideMark/>
          </w:tcPr>
          <w:p w14:paraId="4029B0D7"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023 i 02923</w:t>
            </w:r>
          </w:p>
        </w:tc>
        <w:tc>
          <w:tcPr>
            <w:tcW w:w="1481" w:type="dxa"/>
            <w:tcBorders>
              <w:top w:val="nil"/>
              <w:left w:val="nil"/>
              <w:bottom w:val="single" w:sz="4" w:space="0" w:color="C0C0C0"/>
              <w:right w:val="single" w:sz="4" w:space="0" w:color="000080"/>
            </w:tcBorders>
            <w:shd w:val="clear" w:color="auto" w:fill="auto"/>
            <w:noWrap/>
            <w:vAlign w:val="center"/>
            <w:hideMark/>
          </w:tcPr>
          <w:p w14:paraId="1A71FF1A"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8.711.756,65</w:t>
            </w:r>
          </w:p>
        </w:tc>
        <w:tc>
          <w:tcPr>
            <w:tcW w:w="1462" w:type="dxa"/>
            <w:tcBorders>
              <w:top w:val="nil"/>
              <w:left w:val="nil"/>
              <w:bottom w:val="single" w:sz="4" w:space="0" w:color="C0C0C0"/>
              <w:right w:val="single" w:sz="4" w:space="0" w:color="000080"/>
            </w:tcBorders>
            <w:shd w:val="clear" w:color="auto" w:fill="auto"/>
            <w:noWrap/>
            <w:vAlign w:val="center"/>
            <w:hideMark/>
          </w:tcPr>
          <w:p w14:paraId="22543781"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19.610.923,65</w:t>
            </w:r>
          </w:p>
        </w:tc>
        <w:tc>
          <w:tcPr>
            <w:tcW w:w="967" w:type="dxa"/>
            <w:tcBorders>
              <w:top w:val="nil"/>
              <w:left w:val="nil"/>
              <w:bottom w:val="single" w:sz="4" w:space="0" w:color="C0C0C0"/>
              <w:right w:val="single" w:sz="4" w:space="0" w:color="000000"/>
            </w:tcBorders>
            <w:shd w:val="clear" w:color="auto" w:fill="auto"/>
            <w:noWrap/>
            <w:vAlign w:val="center"/>
            <w:hideMark/>
          </w:tcPr>
          <w:p w14:paraId="13E2060A"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225,1</w:t>
            </w:r>
          </w:p>
        </w:tc>
      </w:tr>
      <w:tr w:rsidR="00F774AD" w:rsidRPr="00F774AD" w14:paraId="32B4E2EF"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01904B40" w14:textId="77777777" w:rsidR="00F774AD" w:rsidRPr="00F774AD" w:rsidRDefault="00F774AD" w:rsidP="00F774AD">
            <w:pPr>
              <w:rPr>
                <w:rFonts w:ascii="Arial" w:hAnsi="Arial" w:cs="Arial"/>
                <w:sz w:val="18"/>
                <w:szCs w:val="18"/>
              </w:rPr>
            </w:pPr>
            <w:r w:rsidRPr="00F774AD">
              <w:rPr>
                <w:rFonts w:ascii="Arial" w:hAnsi="Arial" w:cs="Arial"/>
                <w:sz w:val="18"/>
                <w:szCs w:val="18"/>
              </w:rPr>
              <w:t>0231</w:t>
            </w:r>
          </w:p>
        </w:tc>
        <w:tc>
          <w:tcPr>
            <w:tcW w:w="8766" w:type="dxa"/>
            <w:tcBorders>
              <w:top w:val="nil"/>
              <w:left w:val="nil"/>
              <w:bottom w:val="single" w:sz="4" w:space="0" w:color="C0C0C0"/>
              <w:right w:val="single" w:sz="4" w:space="0" w:color="000080"/>
            </w:tcBorders>
            <w:shd w:val="clear" w:color="auto" w:fill="auto"/>
            <w:vAlign w:val="center"/>
            <w:hideMark/>
          </w:tcPr>
          <w:p w14:paraId="17A38B9A" w14:textId="77777777" w:rsidR="00F774AD" w:rsidRPr="00F774AD" w:rsidRDefault="00F774AD" w:rsidP="00F774AD">
            <w:pPr>
              <w:rPr>
                <w:rFonts w:ascii="Arial" w:hAnsi="Arial" w:cs="Arial"/>
                <w:sz w:val="18"/>
                <w:szCs w:val="18"/>
              </w:rPr>
            </w:pPr>
            <w:r w:rsidRPr="00F774AD">
              <w:rPr>
                <w:rFonts w:ascii="Arial" w:hAnsi="Arial" w:cs="Arial"/>
                <w:sz w:val="18"/>
                <w:szCs w:val="18"/>
              </w:rPr>
              <w:t>Prijevozna sredstva u cestovnom prometu</w:t>
            </w:r>
          </w:p>
        </w:tc>
        <w:tc>
          <w:tcPr>
            <w:tcW w:w="717" w:type="dxa"/>
            <w:tcBorders>
              <w:top w:val="nil"/>
              <w:left w:val="nil"/>
              <w:bottom w:val="single" w:sz="4" w:space="0" w:color="C0C0C0"/>
              <w:right w:val="single" w:sz="4" w:space="0" w:color="000080"/>
            </w:tcBorders>
            <w:shd w:val="clear" w:color="auto" w:fill="auto"/>
            <w:vAlign w:val="center"/>
            <w:hideMark/>
          </w:tcPr>
          <w:p w14:paraId="782F5302"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0231</w:t>
            </w:r>
          </w:p>
        </w:tc>
        <w:tc>
          <w:tcPr>
            <w:tcW w:w="1481" w:type="dxa"/>
            <w:tcBorders>
              <w:top w:val="nil"/>
              <w:left w:val="nil"/>
              <w:bottom w:val="single" w:sz="4" w:space="0" w:color="C0C0C0"/>
              <w:right w:val="single" w:sz="4" w:space="0" w:color="000080"/>
            </w:tcBorders>
            <w:shd w:val="clear" w:color="auto" w:fill="auto"/>
            <w:noWrap/>
            <w:vAlign w:val="center"/>
            <w:hideMark/>
          </w:tcPr>
          <w:p w14:paraId="4A9064AE"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4.330.357,07</w:t>
            </w:r>
          </w:p>
        </w:tc>
        <w:tc>
          <w:tcPr>
            <w:tcW w:w="1462" w:type="dxa"/>
            <w:tcBorders>
              <w:top w:val="nil"/>
              <w:left w:val="nil"/>
              <w:bottom w:val="single" w:sz="4" w:space="0" w:color="C0C0C0"/>
              <w:right w:val="single" w:sz="4" w:space="0" w:color="000080"/>
            </w:tcBorders>
            <w:shd w:val="clear" w:color="auto" w:fill="auto"/>
            <w:noWrap/>
            <w:vAlign w:val="center"/>
            <w:hideMark/>
          </w:tcPr>
          <w:p w14:paraId="20734D7E"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4.642.616,83</w:t>
            </w:r>
          </w:p>
        </w:tc>
        <w:tc>
          <w:tcPr>
            <w:tcW w:w="967" w:type="dxa"/>
            <w:tcBorders>
              <w:top w:val="nil"/>
              <w:left w:val="nil"/>
              <w:bottom w:val="single" w:sz="4" w:space="0" w:color="C0C0C0"/>
              <w:right w:val="single" w:sz="4" w:space="0" w:color="000000"/>
            </w:tcBorders>
            <w:shd w:val="clear" w:color="auto" w:fill="auto"/>
            <w:noWrap/>
            <w:vAlign w:val="center"/>
            <w:hideMark/>
          </w:tcPr>
          <w:p w14:paraId="02708BEE"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107,2</w:t>
            </w:r>
          </w:p>
        </w:tc>
      </w:tr>
      <w:tr w:rsidR="00F774AD" w:rsidRPr="00F774AD" w14:paraId="2CC1D68E"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028E769C" w14:textId="77777777" w:rsidR="00F774AD" w:rsidRPr="00F774AD" w:rsidRDefault="00F774AD" w:rsidP="00F774AD">
            <w:pPr>
              <w:rPr>
                <w:rFonts w:ascii="Arial" w:hAnsi="Arial" w:cs="Arial"/>
                <w:sz w:val="18"/>
                <w:szCs w:val="18"/>
              </w:rPr>
            </w:pPr>
            <w:r w:rsidRPr="00F774AD">
              <w:rPr>
                <w:rFonts w:ascii="Arial" w:hAnsi="Arial" w:cs="Arial"/>
                <w:sz w:val="18"/>
                <w:szCs w:val="18"/>
              </w:rPr>
              <w:lastRenderedPageBreak/>
              <w:t>0233</w:t>
            </w:r>
          </w:p>
        </w:tc>
        <w:tc>
          <w:tcPr>
            <w:tcW w:w="8766" w:type="dxa"/>
            <w:tcBorders>
              <w:top w:val="nil"/>
              <w:left w:val="nil"/>
              <w:bottom w:val="single" w:sz="4" w:space="0" w:color="C0C0C0"/>
              <w:right w:val="single" w:sz="4" w:space="0" w:color="000080"/>
            </w:tcBorders>
            <w:shd w:val="clear" w:color="auto" w:fill="auto"/>
            <w:vAlign w:val="center"/>
            <w:hideMark/>
          </w:tcPr>
          <w:p w14:paraId="2E68FB4B" w14:textId="77777777" w:rsidR="00F774AD" w:rsidRPr="00F774AD" w:rsidRDefault="00F774AD" w:rsidP="00F774AD">
            <w:pPr>
              <w:rPr>
                <w:rFonts w:ascii="Arial" w:hAnsi="Arial" w:cs="Arial"/>
                <w:sz w:val="18"/>
                <w:szCs w:val="18"/>
              </w:rPr>
            </w:pPr>
            <w:r w:rsidRPr="00F774AD">
              <w:rPr>
                <w:rFonts w:ascii="Arial" w:hAnsi="Arial" w:cs="Arial"/>
                <w:sz w:val="18"/>
                <w:szCs w:val="18"/>
              </w:rPr>
              <w:t>Prijevozna sredstva u pomorskom i riječnom prometu</w:t>
            </w:r>
          </w:p>
        </w:tc>
        <w:tc>
          <w:tcPr>
            <w:tcW w:w="717" w:type="dxa"/>
            <w:tcBorders>
              <w:top w:val="nil"/>
              <w:left w:val="nil"/>
              <w:bottom w:val="single" w:sz="4" w:space="0" w:color="C0C0C0"/>
              <w:right w:val="single" w:sz="4" w:space="0" w:color="000080"/>
            </w:tcBorders>
            <w:shd w:val="clear" w:color="auto" w:fill="auto"/>
            <w:vAlign w:val="center"/>
            <w:hideMark/>
          </w:tcPr>
          <w:p w14:paraId="0C7D34B3"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0233</w:t>
            </w:r>
          </w:p>
        </w:tc>
        <w:tc>
          <w:tcPr>
            <w:tcW w:w="1481" w:type="dxa"/>
            <w:tcBorders>
              <w:top w:val="nil"/>
              <w:left w:val="nil"/>
              <w:bottom w:val="single" w:sz="4" w:space="0" w:color="C0C0C0"/>
              <w:right w:val="single" w:sz="4" w:space="0" w:color="000080"/>
            </w:tcBorders>
            <w:shd w:val="clear" w:color="auto" w:fill="auto"/>
            <w:noWrap/>
            <w:vAlign w:val="center"/>
            <w:hideMark/>
          </w:tcPr>
          <w:p w14:paraId="3A5B7BAA"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31.113.694,49</w:t>
            </w:r>
          </w:p>
        </w:tc>
        <w:tc>
          <w:tcPr>
            <w:tcW w:w="1462" w:type="dxa"/>
            <w:tcBorders>
              <w:top w:val="nil"/>
              <w:left w:val="nil"/>
              <w:bottom w:val="single" w:sz="4" w:space="0" w:color="C0C0C0"/>
              <w:right w:val="single" w:sz="4" w:space="0" w:color="000080"/>
            </w:tcBorders>
            <w:shd w:val="clear" w:color="auto" w:fill="auto"/>
            <w:noWrap/>
            <w:vAlign w:val="center"/>
            <w:hideMark/>
          </w:tcPr>
          <w:p w14:paraId="62A3EAEB"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41.022.030,03</w:t>
            </w:r>
          </w:p>
        </w:tc>
        <w:tc>
          <w:tcPr>
            <w:tcW w:w="967" w:type="dxa"/>
            <w:tcBorders>
              <w:top w:val="nil"/>
              <w:left w:val="nil"/>
              <w:bottom w:val="single" w:sz="4" w:space="0" w:color="C0C0C0"/>
              <w:right w:val="single" w:sz="4" w:space="0" w:color="000000"/>
            </w:tcBorders>
            <w:shd w:val="clear" w:color="auto" w:fill="auto"/>
            <w:noWrap/>
            <w:vAlign w:val="center"/>
            <w:hideMark/>
          </w:tcPr>
          <w:p w14:paraId="4578221F"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131,8</w:t>
            </w:r>
          </w:p>
        </w:tc>
      </w:tr>
      <w:tr w:rsidR="00F774AD" w:rsidRPr="00F774AD" w14:paraId="5D383335"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14176764" w14:textId="77777777" w:rsidR="00F774AD" w:rsidRPr="00F774AD" w:rsidRDefault="00F774AD" w:rsidP="00F774AD">
            <w:pPr>
              <w:rPr>
                <w:rFonts w:ascii="Arial" w:hAnsi="Arial" w:cs="Arial"/>
                <w:sz w:val="18"/>
                <w:szCs w:val="18"/>
              </w:rPr>
            </w:pPr>
            <w:r w:rsidRPr="00F774AD">
              <w:rPr>
                <w:rFonts w:ascii="Arial" w:hAnsi="Arial" w:cs="Arial"/>
                <w:sz w:val="18"/>
                <w:szCs w:val="18"/>
              </w:rPr>
              <w:t>02923</w:t>
            </w:r>
          </w:p>
        </w:tc>
        <w:tc>
          <w:tcPr>
            <w:tcW w:w="8766" w:type="dxa"/>
            <w:tcBorders>
              <w:top w:val="nil"/>
              <w:left w:val="nil"/>
              <w:bottom w:val="single" w:sz="4" w:space="0" w:color="C0C0C0"/>
              <w:right w:val="single" w:sz="4" w:space="0" w:color="000080"/>
            </w:tcBorders>
            <w:shd w:val="clear" w:color="auto" w:fill="auto"/>
            <w:vAlign w:val="center"/>
            <w:hideMark/>
          </w:tcPr>
          <w:p w14:paraId="60E62405" w14:textId="77777777" w:rsidR="00F774AD" w:rsidRPr="00F774AD" w:rsidRDefault="00F774AD" w:rsidP="00F774AD">
            <w:pPr>
              <w:rPr>
                <w:rFonts w:ascii="Arial" w:hAnsi="Arial" w:cs="Arial"/>
                <w:sz w:val="18"/>
                <w:szCs w:val="18"/>
              </w:rPr>
            </w:pPr>
            <w:r w:rsidRPr="00F774AD">
              <w:rPr>
                <w:rFonts w:ascii="Arial" w:hAnsi="Arial" w:cs="Arial"/>
                <w:sz w:val="18"/>
                <w:szCs w:val="18"/>
              </w:rPr>
              <w:t xml:space="preserve">Ispravak vrijednosti prijevoznih sredstava </w:t>
            </w:r>
          </w:p>
        </w:tc>
        <w:tc>
          <w:tcPr>
            <w:tcW w:w="717" w:type="dxa"/>
            <w:tcBorders>
              <w:top w:val="nil"/>
              <w:left w:val="nil"/>
              <w:bottom w:val="single" w:sz="4" w:space="0" w:color="C0C0C0"/>
              <w:right w:val="single" w:sz="4" w:space="0" w:color="000080"/>
            </w:tcBorders>
            <w:shd w:val="clear" w:color="auto" w:fill="auto"/>
            <w:vAlign w:val="center"/>
            <w:hideMark/>
          </w:tcPr>
          <w:p w14:paraId="7800B299"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02923</w:t>
            </w:r>
          </w:p>
        </w:tc>
        <w:tc>
          <w:tcPr>
            <w:tcW w:w="1481" w:type="dxa"/>
            <w:tcBorders>
              <w:top w:val="nil"/>
              <w:left w:val="nil"/>
              <w:bottom w:val="single" w:sz="4" w:space="0" w:color="C0C0C0"/>
              <w:right w:val="single" w:sz="4" w:space="0" w:color="000080"/>
            </w:tcBorders>
            <w:shd w:val="clear" w:color="auto" w:fill="auto"/>
            <w:noWrap/>
            <w:vAlign w:val="center"/>
            <w:hideMark/>
          </w:tcPr>
          <w:p w14:paraId="4DD08F2B"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26.732.294,91</w:t>
            </w:r>
          </w:p>
        </w:tc>
        <w:tc>
          <w:tcPr>
            <w:tcW w:w="1462" w:type="dxa"/>
            <w:tcBorders>
              <w:top w:val="nil"/>
              <w:left w:val="nil"/>
              <w:bottom w:val="single" w:sz="4" w:space="0" w:color="C0C0C0"/>
              <w:right w:val="single" w:sz="4" w:space="0" w:color="000080"/>
            </w:tcBorders>
            <w:shd w:val="clear" w:color="auto" w:fill="auto"/>
            <w:noWrap/>
            <w:vAlign w:val="center"/>
            <w:hideMark/>
          </w:tcPr>
          <w:p w14:paraId="55113A90"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26.053.723,21</w:t>
            </w:r>
          </w:p>
        </w:tc>
        <w:tc>
          <w:tcPr>
            <w:tcW w:w="967" w:type="dxa"/>
            <w:tcBorders>
              <w:top w:val="nil"/>
              <w:left w:val="nil"/>
              <w:bottom w:val="single" w:sz="4" w:space="0" w:color="C0C0C0"/>
              <w:right w:val="single" w:sz="4" w:space="0" w:color="000000"/>
            </w:tcBorders>
            <w:shd w:val="clear" w:color="auto" w:fill="auto"/>
            <w:noWrap/>
            <w:vAlign w:val="center"/>
            <w:hideMark/>
          </w:tcPr>
          <w:p w14:paraId="11008D44"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97,5</w:t>
            </w:r>
          </w:p>
        </w:tc>
      </w:tr>
      <w:tr w:rsidR="00F774AD" w:rsidRPr="00F774AD" w14:paraId="67D5A555" w14:textId="77777777" w:rsidTr="00F774AD">
        <w:trPr>
          <w:trHeight w:val="480"/>
        </w:trPr>
        <w:tc>
          <w:tcPr>
            <w:tcW w:w="971" w:type="dxa"/>
            <w:tcBorders>
              <w:top w:val="nil"/>
              <w:left w:val="single" w:sz="4" w:space="0" w:color="000000"/>
              <w:bottom w:val="single" w:sz="4" w:space="0" w:color="C0C0C0"/>
              <w:right w:val="single" w:sz="4" w:space="0" w:color="000080"/>
            </w:tcBorders>
            <w:shd w:val="clear" w:color="auto" w:fill="auto"/>
            <w:noWrap/>
            <w:vAlign w:val="center"/>
            <w:hideMark/>
          </w:tcPr>
          <w:p w14:paraId="5011595C" w14:textId="77777777" w:rsidR="00F774AD" w:rsidRPr="00F774AD" w:rsidRDefault="00F774AD" w:rsidP="00F774AD">
            <w:pPr>
              <w:rPr>
                <w:rFonts w:ascii="Arial" w:hAnsi="Arial" w:cs="Arial"/>
                <w:sz w:val="18"/>
                <w:szCs w:val="18"/>
              </w:rPr>
            </w:pPr>
            <w:r w:rsidRPr="00F774AD">
              <w:rPr>
                <w:rFonts w:ascii="Arial" w:hAnsi="Arial" w:cs="Arial"/>
                <w:sz w:val="18"/>
                <w:szCs w:val="18"/>
              </w:rPr>
              <w:t>024 i 02924</w:t>
            </w:r>
          </w:p>
        </w:tc>
        <w:tc>
          <w:tcPr>
            <w:tcW w:w="8766" w:type="dxa"/>
            <w:tcBorders>
              <w:top w:val="nil"/>
              <w:left w:val="nil"/>
              <w:bottom w:val="single" w:sz="4" w:space="0" w:color="C0C0C0"/>
              <w:right w:val="single" w:sz="4" w:space="0" w:color="000080"/>
            </w:tcBorders>
            <w:shd w:val="clear" w:color="auto" w:fill="auto"/>
            <w:vAlign w:val="center"/>
            <w:hideMark/>
          </w:tcPr>
          <w:p w14:paraId="449E07D9" w14:textId="77777777" w:rsidR="00F774AD" w:rsidRPr="00F774AD" w:rsidRDefault="00F774AD" w:rsidP="00F774AD">
            <w:pPr>
              <w:rPr>
                <w:rFonts w:ascii="Arial" w:hAnsi="Arial" w:cs="Arial"/>
                <w:sz w:val="18"/>
                <w:szCs w:val="18"/>
              </w:rPr>
            </w:pPr>
            <w:r w:rsidRPr="00F774AD">
              <w:rPr>
                <w:rFonts w:ascii="Arial" w:hAnsi="Arial" w:cs="Arial"/>
                <w:sz w:val="18"/>
                <w:szCs w:val="18"/>
              </w:rPr>
              <w:t>Knjige, umjetnička djela i ostale izložbene vrijednosti (šifre 0241 do 0244 - 02924)</w:t>
            </w:r>
          </w:p>
        </w:tc>
        <w:tc>
          <w:tcPr>
            <w:tcW w:w="717" w:type="dxa"/>
            <w:tcBorders>
              <w:top w:val="nil"/>
              <w:left w:val="nil"/>
              <w:bottom w:val="single" w:sz="4" w:space="0" w:color="C0C0C0"/>
              <w:right w:val="single" w:sz="4" w:space="0" w:color="000080"/>
            </w:tcBorders>
            <w:shd w:val="clear" w:color="auto" w:fill="auto"/>
            <w:vAlign w:val="center"/>
            <w:hideMark/>
          </w:tcPr>
          <w:p w14:paraId="7D9FD91C"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024 i 02924</w:t>
            </w:r>
          </w:p>
        </w:tc>
        <w:tc>
          <w:tcPr>
            <w:tcW w:w="1481" w:type="dxa"/>
            <w:tcBorders>
              <w:top w:val="nil"/>
              <w:left w:val="nil"/>
              <w:bottom w:val="single" w:sz="4" w:space="0" w:color="C0C0C0"/>
              <w:right w:val="single" w:sz="4" w:space="0" w:color="000080"/>
            </w:tcBorders>
            <w:shd w:val="clear" w:color="auto" w:fill="auto"/>
            <w:noWrap/>
            <w:vAlign w:val="center"/>
            <w:hideMark/>
          </w:tcPr>
          <w:p w14:paraId="7858F9BC"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4.090,42</w:t>
            </w:r>
          </w:p>
        </w:tc>
        <w:tc>
          <w:tcPr>
            <w:tcW w:w="1462" w:type="dxa"/>
            <w:tcBorders>
              <w:top w:val="nil"/>
              <w:left w:val="nil"/>
              <w:bottom w:val="single" w:sz="4" w:space="0" w:color="C0C0C0"/>
              <w:right w:val="single" w:sz="4" w:space="0" w:color="000080"/>
            </w:tcBorders>
            <w:shd w:val="clear" w:color="auto" w:fill="auto"/>
            <w:noWrap/>
            <w:vAlign w:val="center"/>
            <w:hideMark/>
          </w:tcPr>
          <w:p w14:paraId="0871972A"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4.090,42</w:t>
            </w:r>
          </w:p>
        </w:tc>
        <w:tc>
          <w:tcPr>
            <w:tcW w:w="967" w:type="dxa"/>
            <w:tcBorders>
              <w:top w:val="nil"/>
              <w:left w:val="nil"/>
              <w:bottom w:val="single" w:sz="4" w:space="0" w:color="C0C0C0"/>
              <w:right w:val="single" w:sz="4" w:space="0" w:color="000000"/>
            </w:tcBorders>
            <w:shd w:val="clear" w:color="auto" w:fill="auto"/>
            <w:noWrap/>
            <w:vAlign w:val="center"/>
            <w:hideMark/>
          </w:tcPr>
          <w:p w14:paraId="08C0CF19"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100,0</w:t>
            </w:r>
          </w:p>
        </w:tc>
      </w:tr>
      <w:tr w:rsidR="00F774AD" w:rsidRPr="00F774AD" w14:paraId="673FE023"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15B8DA0B" w14:textId="77777777" w:rsidR="00F774AD" w:rsidRPr="00F774AD" w:rsidRDefault="00F774AD" w:rsidP="00F774AD">
            <w:pPr>
              <w:rPr>
                <w:rFonts w:ascii="Arial" w:hAnsi="Arial" w:cs="Arial"/>
                <w:sz w:val="18"/>
                <w:szCs w:val="18"/>
              </w:rPr>
            </w:pPr>
            <w:r w:rsidRPr="00F774AD">
              <w:rPr>
                <w:rFonts w:ascii="Arial" w:hAnsi="Arial" w:cs="Arial"/>
                <w:sz w:val="18"/>
                <w:szCs w:val="18"/>
              </w:rPr>
              <w:t>0242</w:t>
            </w:r>
          </w:p>
        </w:tc>
        <w:tc>
          <w:tcPr>
            <w:tcW w:w="8766" w:type="dxa"/>
            <w:tcBorders>
              <w:top w:val="nil"/>
              <w:left w:val="nil"/>
              <w:bottom w:val="single" w:sz="4" w:space="0" w:color="C0C0C0"/>
              <w:right w:val="single" w:sz="4" w:space="0" w:color="000080"/>
            </w:tcBorders>
            <w:shd w:val="clear" w:color="auto" w:fill="auto"/>
            <w:vAlign w:val="center"/>
            <w:hideMark/>
          </w:tcPr>
          <w:p w14:paraId="6F918DF1" w14:textId="77777777" w:rsidR="00F774AD" w:rsidRPr="00F774AD" w:rsidRDefault="00F774AD" w:rsidP="00F774AD">
            <w:pPr>
              <w:rPr>
                <w:rFonts w:ascii="Arial" w:hAnsi="Arial" w:cs="Arial"/>
                <w:sz w:val="18"/>
                <w:szCs w:val="18"/>
              </w:rPr>
            </w:pPr>
            <w:r w:rsidRPr="00F774AD">
              <w:rPr>
                <w:rFonts w:ascii="Arial" w:hAnsi="Arial" w:cs="Arial"/>
                <w:sz w:val="18"/>
                <w:szCs w:val="18"/>
              </w:rPr>
              <w:t>Umjetnička djela (izložena u galerijama, muzejima i slično)</w:t>
            </w:r>
          </w:p>
        </w:tc>
        <w:tc>
          <w:tcPr>
            <w:tcW w:w="717" w:type="dxa"/>
            <w:tcBorders>
              <w:top w:val="nil"/>
              <w:left w:val="nil"/>
              <w:bottom w:val="single" w:sz="4" w:space="0" w:color="C0C0C0"/>
              <w:right w:val="single" w:sz="4" w:space="0" w:color="000080"/>
            </w:tcBorders>
            <w:shd w:val="clear" w:color="auto" w:fill="auto"/>
            <w:vAlign w:val="center"/>
            <w:hideMark/>
          </w:tcPr>
          <w:p w14:paraId="3DFF4E5D"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0242</w:t>
            </w:r>
          </w:p>
        </w:tc>
        <w:tc>
          <w:tcPr>
            <w:tcW w:w="1481" w:type="dxa"/>
            <w:tcBorders>
              <w:top w:val="nil"/>
              <w:left w:val="nil"/>
              <w:bottom w:val="single" w:sz="4" w:space="0" w:color="C0C0C0"/>
              <w:right w:val="single" w:sz="4" w:space="0" w:color="000080"/>
            </w:tcBorders>
            <w:shd w:val="clear" w:color="auto" w:fill="auto"/>
            <w:noWrap/>
            <w:vAlign w:val="center"/>
            <w:hideMark/>
          </w:tcPr>
          <w:p w14:paraId="066E0A59"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3.692,26</w:t>
            </w:r>
          </w:p>
        </w:tc>
        <w:tc>
          <w:tcPr>
            <w:tcW w:w="1462" w:type="dxa"/>
            <w:tcBorders>
              <w:top w:val="nil"/>
              <w:left w:val="nil"/>
              <w:bottom w:val="single" w:sz="4" w:space="0" w:color="C0C0C0"/>
              <w:right w:val="single" w:sz="4" w:space="0" w:color="000080"/>
            </w:tcBorders>
            <w:shd w:val="clear" w:color="auto" w:fill="auto"/>
            <w:noWrap/>
            <w:vAlign w:val="center"/>
            <w:hideMark/>
          </w:tcPr>
          <w:p w14:paraId="468FB386"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3.692,26</w:t>
            </w:r>
          </w:p>
        </w:tc>
        <w:tc>
          <w:tcPr>
            <w:tcW w:w="967" w:type="dxa"/>
            <w:tcBorders>
              <w:top w:val="nil"/>
              <w:left w:val="nil"/>
              <w:bottom w:val="single" w:sz="4" w:space="0" w:color="C0C0C0"/>
              <w:right w:val="single" w:sz="4" w:space="0" w:color="000000"/>
            </w:tcBorders>
            <w:shd w:val="clear" w:color="auto" w:fill="auto"/>
            <w:noWrap/>
            <w:vAlign w:val="center"/>
            <w:hideMark/>
          </w:tcPr>
          <w:p w14:paraId="11E7088E"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100,0</w:t>
            </w:r>
          </w:p>
        </w:tc>
      </w:tr>
      <w:tr w:rsidR="00F774AD" w:rsidRPr="00F774AD" w14:paraId="06426A0C"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75D7E6BD" w14:textId="77777777" w:rsidR="00F774AD" w:rsidRPr="00F774AD" w:rsidRDefault="00F774AD" w:rsidP="00F774AD">
            <w:pPr>
              <w:rPr>
                <w:rFonts w:ascii="Arial" w:hAnsi="Arial" w:cs="Arial"/>
                <w:sz w:val="18"/>
                <w:szCs w:val="18"/>
              </w:rPr>
            </w:pPr>
            <w:r w:rsidRPr="00F774AD">
              <w:rPr>
                <w:rFonts w:ascii="Arial" w:hAnsi="Arial" w:cs="Arial"/>
                <w:sz w:val="18"/>
                <w:szCs w:val="18"/>
              </w:rPr>
              <w:t>0244</w:t>
            </w:r>
          </w:p>
        </w:tc>
        <w:tc>
          <w:tcPr>
            <w:tcW w:w="8766" w:type="dxa"/>
            <w:tcBorders>
              <w:top w:val="nil"/>
              <w:left w:val="nil"/>
              <w:bottom w:val="single" w:sz="4" w:space="0" w:color="C0C0C0"/>
              <w:right w:val="single" w:sz="4" w:space="0" w:color="000080"/>
            </w:tcBorders>
            <w:shd w:val="clear" w:color="auto" w:fill="auto"/>
            <w:vAlign w:val="center"/>
            <w:hideMark/>
          </w:tcPr>
          <w:p w14:paraId="76BBCFDA" w14:textId="77777777" w:rsidR="00F774AD" w:rsidRPr="00F774AD" w:rsidRDefault="00F774AD" w:rsidP="00F774AD">
            <w:pPr>
              <w:rPr>
                <w:rFonts w:ascii="Arial" w:hAnsi="Arial" w:cs="Arial"/>
                <w:sz w:val="18"/>
                <w:szCs w:val="18"/>
              </w:rPr>
            </w:pPr>
            <w:r w:rsidRPr="00F774AD">
              <w:rPr>
                <w:rFonts w:ascii="Arial" w:hAnsi="Arial" w:cs="Arial"/>
                <w:sz w:val="18"/>
                <w:szCs w:val="18"/>
              </w:rPr>
              <w:t>Ostale nespomenute izložbene vrijednosti</w:t>
            </w:r>
          </w:p>
        </w:tc>
        <w:tc>
          <w:tcPr>
            <w:tcW w:w="717" w:type="dxa"/>
            <w:tcBorders>
              <w:top w:val="nil"/>
              <w:left w:val="nil"/>
              <w:bottom w:val="single" w:sz="4" w:space="0" w:color="C0C0C0"/>
              <w:right w:val="single" w:sz="4" w:space="0" w:color="000080"/>
            </w:tcBorders>
            <w:shd w:val="clear" w:color="auto" w:fill="auto"/>
            <w:vAlign w:val="center"/>
            <w:hideMark/>
          </w:tcPr>
          <w:p w14:paraId="1E21CD51"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0244</w:t>
            </w:r>
          </w:p>
        </w:tc>
        <w:tc>
          <w:tcPr>
            <w:tcW w:w="1481" w:type="dxa"/>
            <w:tcBorders>
              <w:top w:val="nil"/>
              <w:left w:val="nil"/>
              <w:bottom w:val="single" w:sz="4" w:space="0" w:color="C0C0C0"/>
              <w:right w:val="single" w:sz="4" w:space="0" w:color="000080"/>
            </w:tcBorders>
            <w:shd w:val="clear" w:color="auto" w:fill="auto"/>
            <w:noWrap/>
            <w:vAlign w:val="center"/>
            <w:hideMark/>
          </w:tcPr>
          <w:p w14:paraId="11CE5E4A"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398,16</w:t>
            </w:r>
          </w:p>
        </w:tc>
        <w:tc>
          <w:tcPr>
            <w:tcW w:w="1462" w:type="dxa"/>
            <w:tcBorders>
              <w:top w:val="nil"/>
              <w:left w:val="nil"/>
              <w:bottom w:val="single" w:sz="4" w:space="0" w:color="C0C0C0"/>
              <w:right w:val="single" w:sz="4" w:space="0" w:color="000080"/>
            </w:tcBorders>
            <w:shd w:val="clear" w:color="auto" w:fill="auto"/>
            <w:noWrap/>
            <w:vAlign w:val="center"/>
            <w:hideMark/>
          </w:tcPr>
          <w:p w14:paraId="350409C3"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398,16</w:t>
            </w:r>
          </w:p>
        </w:tc>
        <w:tc>
          <w:tcPr>
            <w:tcW w:w="967" w:type="dxa"/>
            <w:tcBorders>
              <w:top w:val="nil"/>
              <w:left w:val="nil"/>
              <w:bottom w:val="single" w:sz="4" w:space="0" w:color="C0C0C0"/>
              <w:right w:val="single" w:sz="4" w:space="0" w:color="000000"/>
            </w:tcBorders>
            <w:shd w:val="clear" w:color="auto" w:fill="auto"/>
            <w:noWrap/>
            <w:vAlign w:val="center"/>
            <w:hideMark/>
          </w:tcPr>
          <w:p w14:paraId="76F73F40"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100,0</w:t>
            </w:r>
          </w:p>
        </w:tc>
      </w:tr>
      <w:tr w:rsidR="00F774AD" w:rsidRPr="00F774AD" w14:paraId="328BC562"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noWrap/>
            <w:vAlign w:val="center"/>
            <w:hideMark/>
          </w:tcPr>
          <w:p w14:paraId="3393F3E8" w14:textId="77777777" w:rsidR="00F774AD" w:rsidRPr="00F774AD" w:rsidRDefault="00F774AD" w:rsidP="00F774AD">
            <w:pPr>
              <w:rPr>
                <w:rFonts w:ascii="Arial" w:hAnsi="Arial" w:cs="Arial"/>
                <w:sz w:val="18"/>
                <w:szCs w:val="18"/>
              </w:rPr>
            </w:pPr>
            <w:r w:rsidRPr="00F774AD">
              <w:rPr>
                <w:rFonts w:ascii="Arial" w:hAnsi="Arial" w:cs="Arial"/>
                <w:sz w:val="18"/>
                <w:szCs w:val="18"/>
              </w:rPr>
              <w:t>026 i 02926</w:t>
            </w:r>
          </w:p>
        </w:tc>
        <w:tc>
          <w:tcPr>
            <w:tcW w:w="8766" w:type="dxa"/>
            <w:tcBorders>
              <w:top w:val="nil"/>
              <w:left w:val="nil"/>
              <w:bottom w:val="single" w:sz="4" w:space="0" w:color="C0C0C0"/>
              <w:right w:val="single" w:sz="4" w:space="0" w:color="000080"/>
            </w:tcBorders>
            <w:shd w:val="clear" w:color="auto" w:fill="auto"/>
            <w:vAlign w:val="center"/>
            <w:hideMark/>
          </w:tcPr>
          <w:p w14:paraId="4E00E160" w14:textId="77777777" w:rsidR="00F774AD" w:rsidRPr="00F774AD" w:rsidRDefault="00F774AD" w:rsidP="00F774AD">
            <w:pPr>
              <w:rPr>
                <w:rFonts w:ascii="Arial" w:hAnsi="Arial" w:cs="Arial"/>
                <w:sz w:val="18"/>
                <w:szCs w:val="18"/>
              </w:rPr>
            </w:pPr>
            <w:r w:rsidRPr="00F774AD">
              <w:rPr>
                <w:rFonts w:ascii="Arial" w:hAnsi="Arial" w:cs="Arial"/>
                <w:sz w:val="18"/>
                <w:szCs w:val="18"/>
              </w:rPr>
              <w:t>Nematerijalna proizvedena imovina (šifre 0261 do 0264 - 02926)</w:t>
            </w:r>
          </w:p>
        </w:tc>
        <w:tc>
          <w:tcPr>
            <w:tcW w:w="717" w:type="dxa"/>
            <w:tcBorders>
              <w:top w:val="nil"/>
              <w:left w:val="nil"/>
              <w:bottom w:val="single" w:sz="4" w:space="0" w:color="C0C0C0"/>
              <w:right w:val="single" w:sz="4" w:space="0" w:color="000080"/>
            </w:tcBorders>
            <w:shd w:val="clear" w:color="auto" w:fill="auto"/>
            <w:vAlign w:val="center"/>
            <w:hideMark/>
          </w:tcPr>
          <w:p w14:paraId="12D2EE67"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026 i 02926</w:t>
            </w:r>
          </w:p>
        </w:tc>
        <w:tc>
          <w:tcPr>
            <w:tcW w:w="1481" w:type="dxa"/>
            <w:tcBorders>
              <w:top w:val="nil"/>
              <w:left w:val="nil"/>
              <w:bottom w:val="single" w:sz="4" w:space="0" w:color="C0C0C0"/>
              <w:right w:val="single" w:sz="4" w:space="0" w:color="000080"/>
            </w:tcBorders>
            <w:shd w:val="clear" w:color="auto" w:fill="auto"/>
            <w:noWrap/>
            <w:vAlign w:val="center"/>
            <w:hideMark/>
          </w:tcPr>
          <w:p w14:paraId="4110A6AE"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2.205.390,12</w:t>
            </w:r>
          </w:p>
        </w:tc>
        <w:tc>
          <w:tcPr>
            <w:tcW w:w="1462" w:type="dxa"/>
            <w:tcBorders>
              <w:top w:val="nil"/>
              <w:left w:val="nil"/>
              <w:bottom w:val="single" w:sz="4" w:space="0" w:color="C0C0C0"/>
              <w:right w:val="single" w:sz="4" w:space="0" w:color="000080"/>
            </w:tcBorders>
            <w:shd w:val="clear" w:color="auto" w:fill="auto"/>
            <w:noWrap/>
            <w:vAlign w:val="center"/>
            <w:hideMark/>
          </w:tcPr>
          <w:p w14:paraId="36D74311"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1.988.989,92</w:t>
            </w:r>
          </w:p>
        </w:tc>
        <w:tc>
          <w:tcPr>
            <w:tcW w:w="967" w:type="dxa"/>
            <w:tcBorders>
              <w:top w:val="nil"/>
              <w:left w:val="nil"/>
              <w:bottom w:val="single" w:sz="4" w:space="0" w:color="C0C0C0"/>
              <w:right w:val="single" w:sz="4" w:space="0" w:color="000000"/>
            </w:tcBorders>
            <w:shd w:val="clear" w:color="auto" w:fill="auto"/>
            <w:noWrap/>
            <w:vAlign w:val="center"/>
            <w:hideMark/>
          </w:tcPr>
          <w:p w14:paraId="7B34C58E"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90,2</w:t>
            </w:r>
          </w:p>
        </w:tc>
      </w:tr>
      <w:tr w:rsidR="00F774AD" w:rsidRPr="00F774AD" w14:paraId="12D328B9"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65260DD3" w14:textId="77777777" w:rsidR="00F774AD" w:rsidRPr="00F774AD" w:rsidRDefault="00F774AD" w:rsidP="00F774AD">
            <w:pPr>
              <w:rPr>
                <w:rFonts w:ascii="Arial" w:hAnsi="Arial" w:cs="Arial"/>
                <w:sz w:val="18"/>
                <w:szCs w:val="18"/>
              </w:rPr>
            </w:pPr>
            <w:r w:rsidRPr="00F774AD">
              <w:rPr>
                <w:rFonts w:ascii="Arial" w:hAnsi="Arial" w:cs="Arial"/>
                <w:sz w:val="18"/>
                <w:szCs w:val="18"/>
              </w:rPr>
              <w:t>0262</w:t>
            </w:r>
          </w:p>
        </w:tc>
        <w:tc>
          <w:tcPr>
            <w:tcW w:w="8766" w:type="dxa"/>
            <w:tcBorders>
              <w:top w:val="nil"/>
              <w:left w:val="nil"/>
              <w:bottom w:val="single" w:sz="4" w:space="0" w:color="C0C0C0"/>
              <w:right w:val="single" w:sz="4" w:space="0" w:color="000080"/>
            </w:tcBorders>
            <w:shd w:val="clear" w:color="auto" w:fill="auto"/>
            <w:vAlign w:val="center"/>
            <w:hideMark/>
          </w:tcPr>
          <w:p w14:paraId="7FED402C" w14:textId="77777777" w:rsidR="00F774AD" w:rsidRPr="00F774AD" w:rsidRDefault="00F774AD" w:rsidP="00F774AD">
            <w:pPr>
              <w:rPr>
                <w:rFonts w:ascii="Arial" w:hAnsi="Arial" w:cs="Arial"/>
                <w:sz w:val="18"/>
                <w:szCs w:val="18"/>
              </w:rPr>
            </w:pPr>
            <w:r w:rsidRPr="00F774AD">
              <w:rPr>
                <w:rFonts w:ascii="Arial" w:hAnsi="Arial" w:cs="Arial"/>
                <w:sz w:val="18"/>
                <w:szCs w:val="18"/>
              </w:rPr>
              <w:t>Ulaganja u računalne programe</w:t>
            </w:r>
          </w:p>
        </w:tc>
        <w:tc>
          <w:tcPr>
            <w:tcW w:w="717" w:type="dxa"/>
            <w:tcBorders>
              <w:top w:val="nil"/>
              <w:left w:val="nil"/>
              <w:bottom w:val="single" w:sz="4" w:space="0" w:color="C0C0C0"/>
              <w:right w:val="single" w:sz="4" w:space="0" w:color="000080"/>
            </w:tcBorders>
            <w:shd w:val="clear" w:color="auto" w:fill="auto"/>
            <w:vAlign w:val="center"/>
            <w:hideMark/>
          </w:tcPr>
          <w:p w14:paraId="4BC3E719"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0262</w:t>
            </w:r>
          </w:p>
        </w:tc>
        <w:tc>
          <w:tcPr>
            <w:tcW w:w="1481" w:type="dxa"/>
            <w:tcBorders>
              <w:top w:val="nil"/>
              <w:left w:val="nil"/>
              <w:bottom w:val="single" w:sz="4" w:space="0" w:color="C0C0C0"/>
              <w:right w:val="single" w:sz="4" w:space="0" w:color="000080"/>
            </w:tcBorders>
            <w:shd w:val="clear" w:color="auto" w:fill="auto"/>
            <w:noWrap/>
            <w:vAlign w:val="center"/>
            <w:hideMark/>
          </w:tcPr>
          <w:p w14:paraId="35858186"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11.912.336,86</w:t>
            </w:r>
          </w:p>
        </w:tc>
        <w:tc>
          <w:tcPr>
            <w:tcW w:w="1462" w:type="dxa"/>
            <w:tcBorders>
              <w:top w:val="nil"/>
              <w:left w:val="nil"/>
              <w:bottom w:val="single" w:sz="4" w:space="0" w:color="C0C0C0"/>
              <w:right w:val="single" w:sz="4" w:space="0" w:color="000080"/>
            </w:tcBorders>
            <w:shd w:val="clear" w:color="auto" w:fill="auto"/>
            <w:noWrap/>
            <w:vAlign w:val="center"/>
            <w:hideMark/>
          </w:tcPr>
          <w:p w14:paraId="5DC6CA8B"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12.683.549,36</w:t>
            </w:r>
          </w:p>
        </w:tc>
        <w:tc>
          <w:tcPr>
            <w:tcW w:w="967" w:type="dxa"/>
            <w:tcBorders>
              <w:top w:val="nil"/>
              <w:left w:val="nil"/>
              <w:bottom w:val="single" w:sz="4" w:space="0" w:color="C0C0C0"/>
              <w:right w:val="single" w:sz="4" w:space="0" w:color="000000"/>
            </w:tcBorders>
            <w:shd w:val="clear" w:color="auto" w:fill="auto"/>
            <w:noWrap/>
            <w:vAlign w:val="center"/>
            <w:hideMark/>
          </w:tcPr>
          <w:p w14:paraId="2E5520AC"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106,5</w:t>
            </w:r>
          </w:p>
        </w:tc>
      </w:tr>
      <w:tr w:rsidR="00F774AD" w:rsidRPr="00F774AD" w14:paraId="4D8E3897"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49CE0A90" w14:textId="77777777" w:rsidR="00F774AD" w:rsidRPr="00F774AD" w:rsidRDefault="00F774AD" w:rsidP="00F774AD">
            <w:pPr>
              <w:rPr>
                <w:rFonts w:ascii="Arial" w:hAnsi="Arial" w:cs="Arial"/>
                <w:sz w:val="18"/>
                <w:szCs w:val="18"/>
              </w:rPr>
            </w:pPr>
            <w:r w:rsidRPr="00F774AD">
              <w:rPr>
                <w:rFonts w:ascii="Arial" w:hAnsi="Arial" w:cs="Arial"/>
                <w:sz w:val="18"/>
                <w:szCs w:val="18"/>
              </w:rPr>
              <w:t>0263</w:t>
            </w:r>
          </w:p>
        </w:tc>
        <w:tc>
          <w:tcPr>
            <w:tcW w:w="8766" w:type="dxa"/>
            <w:tcBorders>
              <w:top w:val="nil"/>
              <w:left w:val="nil"/>
              <w:bottom w:val="single" w:sz="4" w:space="0" w:color="C0C0C0"/>
              <w:right w:val="single" w:sz="4" w:space="0" w:color="000080"/>
            </w:tcBorders>
            <w:shd w:val="clear" w:color="auto" w:fill="auto"/>
            <w:vAlign w:val="center"/>
            <w:hideMark/>
          </w:tcPr>
          <w:p w14:paraId="0078097D" w14:textId="77777777" w:rsidR="00F774AD" w:rsidRPr="00F774AD" w:rsidRDefault="00F774AD" w:rsidP="00F774AD">
            <w:pPr>
              <w:rPr>
                <w:rFonts w:ascii="Arial" w:hAnsi="Arial" w:cs="Arial"/>
                <w:sz w:val="18"/>
                <w:szCs w:val="18"/>
              </w:rPr>
            </w:pPr>
            <w:r w:rsidRPr="00F774AD">
              <w:rPr>
                <w:rFonts w:ascii="Arial" w:hAnsi="Arial" w:cs="Arial"/>
                <w:sz w:val="18"/>
                <w:szCs w:val="18"/>
              </w:rPr>
              <w:t>Umjetnička, literarna i znanstvena djela</w:t>
            </w:r>
          </w:p>
        </w:tc>
        <w:tc>
          <w:tcPr>
            <w:tcW w:w="717" w:type="dxa"/>
            <w:tcBorders>
              <w:top w:val="nil"/>
              <w:left w:val="nil"/>
              <w:bottom w:val="single" w:sz="4" w:space="0" w:color="C0C0C0"/>
              <w:right w:val="single" w:sz="4" w:space="0" w:color="000080"/>
            </w:tcBorders>
            <w:shd w:val="clear" w:color="auto" w:fill="auto"/>
            <w:vAlign w:val="center"/>
            <w:hideMark/>
          </w:tcPr>
          <w:p w14:paraId="1810A55A"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0263</w:t>
            </w:r>
          </w:p>
        </w:tc>
        <w:tc>
          <w:tcPr>
            <w:tcW w:w="1481" w:type="dxa"/>
            <w:tcBorders>
              <w:top w:val="nil"/>
              <w:left w:val="nil"/>
              <w:bottom w:val="single" w:sz="4" w:space="0" w:color="C0C0C0"/>
              <w:right w:val="single" w:sz="4" w:space="0" w:color="000080"/>
            </w:tcBorders>
            <w:shd w:val="clear" w:color="auto" w:fill="auto"/>
            <w:noWrap/>
            <w:vAlign w:val="center"/>
            <w:hideMark/>
          </w:tcPr>
          <w:p w14:paraId="51A4363A"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3.690.155,64</w:t>
            </w:r>
          </w:p>
        </w:tc>
        <w:tc>
          <w:tcPr>
            <w:tcW w:w="1462" w:type="dxa"/>
            <w:tcBorders>
              <w:top w:val="nil"/>
              <w:left w:val="nil"/>
              <w:bottom w:val="single" w:sz="4" w:space="0" w:color="C0C0C0"/>
              <w:right w:val="single" w:sz="4" w:space="0" w:color="000080"/>
            </w:tcBorders>
            <w:shd w:val="clear" w:color="auto" w:fill="auto"/>
            <w:noWrap/>
            <w:vAlign w:val="center"/>
            <w:hideMark/>
          </w:tcPr>
          <w:p w14:paraId="23C12DD2"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3.690.155,64</w:t>
            </w:r>
          </w:p>
        </w:tc>
        <w:tc>
          <w:tcPr>
            <w:tcW w:w="967" w:type="dxa"/>
            <w:tcBorders>
              <w:top w:val="nil"/>
              <w:left w:val="nil"/>
              <w:bottom w:val="single" w:sz="4" w:space="0" w:color="C0C0C0"/>
              <w:right w:val="single" w:sz="4" w:space="0" w:color="000000"/>
            </w:tcBorders>
            <w:shd w:val="clear" w:color="auto" w:fill="auto"/>
            <w:noWrap/>
            <w:vAlign w:val="center"/>
            <w:hideMark/>
          </w:tcPr>
          <w:p w14:paraId="45078BE2"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100,0</w:t>
            </w:r>
          </w:p>
        </w:tc>
      </w:tr>
      <w:tr w:rsidR="00F774AD" w:rsidRPr="00F774AD" w14:paraId="1E67EA7C"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641DCA60" w14:textId="77777777" w:rsidR="00F774AD" w:rsidRPr="00F774AD" w:rsidRDefault="00F774AD" w:rsidP="00F774AD">
            <w:pPr>
              <w:rPr>
                <w:rFonts w:ascii="Arial" w:hAnsi="Arial" w:cs="Arial"/>
                <w:sz w:val="18"/>
                <w:szCs w:val="18"/>
              </w:rPr>
            </w:pPr>
            <w:r w:rsidRPr="00F774AD">
              <w:rPr>
                <w:rFonts w:ascii="Arial" w:hAnsi="Arial" w:cs="Arial"/>
                <w:sz w:val="18"/>
                <w:szCs w:val="18"/>
              </w:rPr>
              <w:t>0264</w:t>
            </w:r>
          </w:p>
        </w:tc>
        <w:tc>
          <w:tcPr>
            <w:tcW w:w="8766" w:type="dxa"/>
            <w:tcBorders>
              <w:top w:val="nil"/>
              <w:left w:val="nil"/>
              <w:bottom w:val="single" w:sz="4" w:space="0" w:color="C0C0C0"/>
              <w:right w:val="single" w:sz="4" w:space="0" w:color="000080"/>
            </w:tcBorders>
            <w:shd w:val="clear" w:color="auto" w:fill="auto"/>
            <w:vAlign w:val="center"/>
            <w:hideMark/>
          </w:tcPr>
          <w:p w14:paraId="65E9B6B0" w14:textId="77777777" w:rsidR="00F774AD" w:rsidRPr="00F774AD" w:rsidRDefault="00F774AD" w:rsidP="00F774AD">
            <w:pPr>
              <w:rPr>
                <w:rFonts w:ascii="Arial" w:hAnsi="Arial" w:cs="Arial"/>
                <w:sz w:val="18"/>
                <w:szCs w:val="18"/>
              </w:rPr>
            </w:pPr>
            <w:r w:rsidRPr="00F774AD">
              <w:rPr>
                <w:rFonts w:ascii="Arial" w:hAnsi="Arial" w:cs="Arial"/>
                <w:sz w:val="18"/>
                <w:szCs w:val="18"/>
              </w:rPr>
              <w:t>Ostala nematerijalna proizvedena imovina</w:t>
            </w:r>
          </w:p>
        </w:tc>
        <w:tc>
          <w:tcPr>
            <w:tcW w:w="717" w:type="dxa"/>
            <w:tcBorders>
              <w:top w:val="nil"/>
              <w:left w:val="nil"/>
              <w:bottom w:val="single" w:sz="4" w:space="0" w:color="C0C0C0"/>
              <w:right w:val="single" w:sz="4" w:space="0" w:color="000080"/>
            </w:tcBorders>
            <w:shd w:val="clear" w:color="auto" w:fill="auto"/>
            <w:vAlign w:val="center"/>
            <w:hideMark/>
          </w:tcPr>
          <w:p w14:paraId="52127AC4"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0264</w:t>
            </w:r>
          </w:p>
        </w:tc>
        <w:tc>
          <w:tcPr>
            <w:tcW w:w="1481" w:type="dxa"/>
            <w:tcBorders>
              <w:top w:val="nil"/>
              <w:left w:val="nil"/>
              <w:bottom w:val="single" w:sz="4" w:space="0" w:color="C0C0C0"/>
              <w:right w:val="single" w:sz="4" w:space="0" w:color="000080"/>
            </w:tcBorders>
            <w:shd w:val="clear" w:color="auto" w:fill="auto"/>
            <w:noWrap/>
            <w:vAlign w:val="center"/>
            <w:hideMark/>
          </w:tcPr>
          <w:p w14:paraId="29FCA292"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3.915.923,41</w:t>
            </w:r>
          </w:p>
        </w:tc>
        <w:tc>
          <w:tcPr>
            <w:tcW w:w="1462" w:type="dxa"/>
            <w:tcBorders>
              <w:top w:val="nil"/>
              <w:left w:val="nil"/>
              <w:bottom w:val="single" w:sz="4" w:space="0" w:color="C0C0C0"/>
              <w:right w:val="single" w:sz="4" w:space="0" w:color="000080"/>
            </w:tcBorders>
            <w:shd w:val="clear" w:color="auto" w:fill="auto"/>
            <w:noWrap/>
            <w:vAlign w:val="center"/>
            <w:hideMark/>
          </w:tcPr>
          <w:p w14:paraId="5BF58E0F"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3.915.923,41</w:t>
            </w:r>
          </w:p>
        </w:tc>
        <w:tc>
          <w:tcPr>
            <w:tcW w:w="967" w:type="dxa"/>
            <w:tcBorders>
              <w:top w:val="nil"/>
              <w:left w:val="nil"/>
              <w:bottom w:val="single" w:sz="4" w:space="0" w:color="C0C0C0"/>
              <w:right w:val="single" w:sz="4" w:space="0" w:color="000000"/>
            </w:tcBorders>
            <w:shd w:val="clear" w:color="auto" w:fill="auto"/>
            <w:noWrap/>
            <w:vAlign w:val="center"/>
            <w:hideMark/>
          </w:tcPr>
          <w:p w14:paraId="7657B92D"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100,0</w:t>
            </w:r>
          </w:p>
        </w:tc>
      </w:tr>
      <w:tr w:rsidR="00F774AD" w:rsidRPr="00F774AD" w14:paraId="43E06F96"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139B69B2" w14:textId="77777777" w:rsidR="00F774AD" w:rsidRPr="00F774AD" w:rsidRDefault="00F774AD" w:rsidP="00F774AD">
            <w:pPr>
              <w:rPr>
                <w:rFonts w:ascii="Arial" w:hAnsi="Arial" w:cs="Arial"/>
                <w:sz w:val="18"/>
                <w:szCs w:val="18"/>
              </w:rPr>
            </w:pPr>
            <w:r w:rsidRPr="00F774AD">
              <w:rPr>
                <w:rFonts w:ascii="Arial" w:hAnsi="Arial" w:cs="Arial"/>
                <w:sz w:val="18"/>
                <w:szCs w:val="18"/>
              </w:rPr>
              <w:t>02926</w:t>
            </w:r>
          </w:p>
        </w:tc>
        <w:tc>
          <w:tcPr>
            <w:tcW w:w="8766" w:type="dxa"/>
            <w:tcBorders>
              <w:top w:val="nil"/>
              <w:left w:val="nil"/>
              <w:bottom w:val="single" w:sz="4" w:space="0" w:color="C0C0C0"/>
              <w:right w:val="single" w:sz="4" w:space="0" w:color="000080"/>
            </w:tcBorders>
            <w:shd w:val="clear" w:color="auto" w:fill="auto"/>
            <w:vAlign w:val="center"/>
            <w:hideMark/>
          </w:tcPr>
          <w:p w14:paraId="4C32928D" w14:textId="77777777" w:rsidR="00F774AD" w:rsidRPr="00F774AD" w:rsidRDefault="00F774AD" w:rsidP="00F774AD">
            <w:pPr>
              <w:rPr>
                <w:rFonts w:ascii="Arial" w:hAnsi="Arial" w:cs="Arial"/>
                <w:sz w:val="18"/>
                <w:szCs w:val="18"/>
              </w:rPr>
            </w:pPr>
            <w:r w:rsidRPr="00F774AD">
              <w:rPr>
                <w:rFonts w:ascii="Arial" w:hAnsi="Arial" w:cs="Arial"/>
                <w:sz w:val="18"/>
                <w:szCs w:val="18"/>
              </w:rPr>
              <w:t>Ispravak vrijednosti nematerijalne proizvedene imovine</w:t>
            </w:r>
          </w:p>
        </w:tc>
        <w:tc>
          <w:tcPr>
            <w:tcW w:w="717" w:type="dxa"/>
            <w:tcBorders>
              <w:top w:val="nil"/>
              <w:left w:val="nil"/>
              <w:bottom w:val="single" w:sz="4" w:space="0" w:color="C0C0C0"/>
              <w:right w:val="single" w:sz="4" w:space="0" w:color="000080"/>
            </w:tcBorders>
            <w:shd w:val="clear" w:color="auto" w:fill="auto"/>
            <w:vAlign w:val="center"/>
            <w:hideMark/>
          </w:tcPr>
          <w:p w14:paraId="4B2D109A"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02926</w:t>
            </w:r>
          </w:p>
        </w:tc>
        <w:tc>
          <w:tcPr>
            <w:tcW w:w="1481" w:type="dxa"/>
            <w:tcBorders>
              <w:top w:val="nil"/>
              <w:left w:val="nil"/>
              <w:bottom w:val="single" w:sz="4" w:space="0" w:color="C0C0C0"/>
              <w:right w:val="single" w:sz="4" w:space="0" w:color="000080"/>
            </w:tcBorders>
            <w:shd w:val="clear" w:color="auto" w:fill="auto"/>
            <w:noWrap/>
            <w:vAlign w:val="center"/>
            <w:hideMark/>
          </w:tcPr>
          <w:p w14:paraId="1AE2B492"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17.313.025,79</w:t>
            </w:r>
          </w:p>
        </w:tc>
        <w:tc>
          <w:tcPr>
            <w:tcW w:w="1462" w:type="dxa"/>
            <w:tcBorders>
              <w:top w:val="nil"/>
              <w:left w:val="nil"/>
              <w:bottom w:val="single" w:sz="4" w:space="0" w:color="C0C0C0"/>
              <w:right w:val="single" w:sz="4" w:space="0" w:color="000080"/>
            </w:tcBorders>
            <w:shd w:val="clear" w:color="auto" w:fill="auto"/>
            <w:noWrap/>
            <w:vAlign w:val="center"/>
            <w:hideMark/>
          </w:tcPr>
          <w:p w14:paraId="0636099A"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18.300.638,49</w:t>
            </w:r>
          </w:p>
        </w:tc>
        <w:tc>
          <w:tcPr>
            <w:tcW w:w="967" w:type="dxa"/>
            <w:tcBorders>
              <w:top w:val="nil"/>
              <w:left w:val="nil"/>
              <w:bottom w:val="single" w:sz="4" w:space="0" w:color="C0C0C0"/>
              <w:right w:val="single" w:sz="4" w:space="0" w:color="000000"/>
            </w:tcBorders>
            <w:shd w:val="clear" w:color="auto" w:fill="auto"/>
            <w:noWrap/>
            <w:vAlign w:val="center"/>
            <w:hideMark/>
          </w:tcPr>
          <w:p w14:paraId="621B1423"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105,7</w:t>
            </w:r>
          </w:p>
        </w:tc>
      </w:tr>
      <w:tr w:rsidR="00F774AD" w:rsidRPr="00F774AD" w14:paraId="1DFA237F"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6C4AF8B3" w14:textId="77777777" w:rsidR="00F774AD" w:rsidRPr="00F774AD" w:rsidRDefault="00F774AD" w:rsidP="00F774AD">
            <w:pPr>
              <w:rPr>
                <w:rFonts w:ascii="Arial" w:hAnsi="Arial" w:cs="Arial"/>
                <w:sz w:val="18"/>
                <w:szCs w:val="18"/>
              </w:rPr>
            </w:pPr>
            <w:r w:rsidRPr="00F774AD">
              <w:rPr>
                <w:rFonts w:ascii="Arial" w:hAnsi="Arial" w:cs="Arial"/>
                <w:sz w:val="18"/>
                <w:szCs w:val="18"/>
              </w:rPr>
              <w:t>04</w:t>
            </w:r>
          </w:p>
        </w:tc>
        <w:tc>
          <w:tcPr>
            <w:tcW w:w="8766" w:type="dxa"/>
            <w:tcBorders>
              <w:top w:val="nil"/>
              <w:left w:val="nil"/>
              <w:bottom w:val="single" w:sz="4" w:space="0" w:color="C0C0C0"/>
              <w:right w:val="single" w:sz="4" w:space="0" w:color="000080"/>
            </w:tcBorders>
            <w:shd w:val="clear" w:color="auto" w:fill="auto"/>
            <w:vAlign w:val="center"/>
            <w:hideMark/>
          </w:tcPr>
          <w:p w14:paraId="1333DCEC" w14:textId="77777777" w:rsidR="00F774AD" w:rsidRPr="00F774AD" w:rsidRDefault="00F774AD" w:rsidP="00F774AD">
            <w:pPr>
              <w:rPr>
                <w:rFonts w:ascii="Arial" w:hAnsi="Arial" w:cs="Arial"/>
                <w:sz w:val="18"/>
                <w:szCs w:val="18"/>
              </w:rPr>
            </w:pPr>
            <w:r w:rsidRPr="00F774AD">
              <w:rPr>
                <w:rFonts w:ascii="Arial" w:hAnsi="Arial" w:cs="Arial"/>
                <w:sz w:val="18"/>
                <w:szCs w:val="18"/>
              </w:rPr>
              <w:t xml:space="preserve">Sitni inventar i </w:t>
            </w:r>
            <w:proofErr w:type="spellStart"/>
            <w:r w:rsidRPr="00F774AD">
              <w:rPr>
                <w:rFonts w:ascii="Arial" w:hAnsi="Arial" w:cs="Arial"/>
                <w:sz w:val="18"/>
                <w:szCs w:val="18"/>
              </w:rPr>
              <w:t>autogume</w:t>
            </w:r>
            <w:proofErr w:type="spellEnd"/>
            <w:r w:rsidRPr="00F774AD">
              <w:rPr>
                <w:rFonts w:ascii="Arial" w:hAnsi="Arial" w:cs="Arial"/>
                <w:sz w:val="18"/>
                <w:szCs w:val="18"/>
              </w:rPr>
              <w:t xml:space="preserve"> (šifre 041+042-049)</w:t>
            </w:r>
          </w:p>
        </w:tc>
        <w:tc>
          <w:tcPr>
            <w:tcW w:w="717" w:type="dxa"/>
            <w:tcBorders>
              <w:top w:val="nil"/>
              <w:left w:val="nil"/>
              <w:bottom w:val="single" w:sz="4" w:space="0" w:color="C0C0C0"/>
              <w:right w:val="single" w:sz="4" w:space="0" w:color="000080"/>
            </w:tcBorders>
            <w:shd w:val="clear" w:color="auto" w:fill="auto"/>
            <w:vAlign w:val="center"/>
            <w:hideMark/>
          </w:tcPr>
          <w:p w14:paraId="47AF00CE"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04</w:t>
            </w:r>
          </w:p>
        </w:tc>
        <w:tc>
          <w:tcPr>
            <w:tcW w:w="1481" w:type="dxa"/>
            <w:tcBorders>
              <w:top w:val="nil"/>
              <w:left w:val="nil"/>
              <w:bottom w:val="single" w:sz="4" w:space="0" w:color="C0C0C0"/>
              <w:right w:val="single" w:sz="4" w:space="0" w:color="000080"/>
            </w:tcBorders>
            <w:shd w:val="clear" w:color="auto" w:fill="auto"/>
            <w:noWrap/>
            <w:vAlign w:val="center"/>
            <w:hideMark/>
          </w:tcPr>
          <w:p w14:paraId="1FBECC15"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75A81505"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0,00</w:t>
            </w:r>
          </w:p>
        </w:tc>
        <w:tc>
          <w:tcPr>
            <w:tcW w:w="967" w:type="dxa"/>
            <w:tcBorders>
              <w:top w:val="nil"/>
              <w:left w:val="nil"/>
              <w:bottom w:val="single" w:sz="4" w:space="0" w:color="C0C0C0"/>
              <w:right w:val="single" w:sz="4" w:space="0" w:color="000000"/>
            </w:tcBorders>
            <w:shd w:val="clear" w:color="auto" w:fill="auto"/>
            <w:noWrap/>
            <w:vAlign w:val="center"/>
            <w:hideMark/>
          </w:tcPr>
          <w:p w14:paraId="4C3B6763"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w:t>
            </w:r>
          </w:p>
        </w:tc>
      </w:tr>
      <w:tr w:rsidR="00F774AD" w:rsidRPr="00F774AD" w14:paraId="66E4E845"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112DBEC8" w14:textId="77777777" w:rsidR="00F774AD" w:rsidRPr="00F774AD" w:rsidRDefault="00F774AD" w:rsidP="00F774AD">
            <w:pPr>
              <w:rPr>
                <w:rFonts w:ascii="Arial" w:hAnsi="Arial" w:cs="Arial"/>
                <w:sz w:val="18"/>
                <w:szCs w:val="18"/>
              </w:rPr>
            </w:pPr>
            <w:r w:rsidRPr="00F774AD">
              <w:rPr>
                <w:rFonts w:ascii="Arial" w:hAnsi="Arial" w:cs="Arial"/>
                <w:sz w:val="18"/>
                <w:szCs w:val="18"/>
              </w:rPr>
              <w:t>042</w:t>
            </w:r>
          </w:p>
        </w:tc>
        <w:tc>
          <w:tcPr>
            <w:tcW w:w="8766" w:type="dxa"/>
            <w:tcBorders>
              <w:top w:val="nil"/>
              <w:left w:val="nil"/>
              <w:bottom w:val="single" w:sz="4" w:space="0" w:color="C0C0C0"/>
              <w:right w:val="single" w:sz="4" w:space="0" w:color="000080"/>
            </w:tcBorders>
            <w:shd w:val="clear" w:color="auto" w:fill="auto"/>
            <w:vAlign w:val="center"/>
            <w:hideMark/>
          </w:tcPr>
          <w:p w14:paraId="22FCA8B1" w14:textId="77777777" w:rsidR="00F774AD" w:rsidRPr="00F774AD" w:rsidRDefault="00F774AD" w:rsidP="00F774AD">
            <w:pPr>
              <w:rPr>
                <w:rFonts w:ascii="Arial" w:hAnsi="Arial" w:cs="Arial"/>
                <w:sz w:val="18"/>
                <w:szCs w:val="18"/>
              </w:rPr>
            </w:pPr>
            <w:r w:rsidRPr="00F774AD">
              <w:rPr>
                <w:rFonts w:ascii="Arial" w:hAnsi="Arial" w:cs="Arial"/>
                <w:sz w:val="18"/>
                <w:szCs w:val="18"/>
              </w:rPr>
              <w:t xml:space="preserve">Sitni inventar i </w:t>
            </w:r>
            <w:proofErr w:type="spellStart"/>
            <w:r w:rsidRPr="00F774AD">
              <w:rPr>
                <w:rFonts w:ascii="Arial" w:hAnsi="Arial" w:cs="Arial"/>
                <w:sz w:val="18"/>
                <w:szCs w:val="18"/>
              </w:rPr>
              <w:t>autogume</w:t>
            </w:r>
            <w:proofErr w:type="spellEnd"/>
            <w:r w:rsidRPr="00F774AD">
              <w:rPr>
                <w:rFonts w:ascii="Arial" w:hAnsi="Arial" w:cs="Arial"/>
                <w:sz w:val="18"/>
                <w:szCs w:val="18"/>
              </w:rPr>
              <w:t xml:space="preserve"> u upotrebi</w:t>
            </w:r>
          </w:p>
        </w:tc>
        <w:tc>
          <w:tcPr>
            <w:tcW w:w="717" w:type="dxa"/>
            <w:tcBorders>
              <w:top w:val="nil"/>
              <w:left w:val="nil"/>
              <w:bottom w:val="single" w:sz="4" w:space="0" w:color="C0C0C0"/>
              <w:right w:val="single" w:sz="4" w:space="0" w:color="000080"/>
            </w:tcBorders>
            <w:shd w:val="clear" w:color="auto" w:fill="auto"/>
            <w:vAlign w:val="center"/>
            <w:hideMark/>
          </w:tcPr>
          <w:p w14:paraId="51E06451"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042</w:t>
            </w:r>
          </w:p>
        </w:tc>
        <w:tc>
          <w:tcPr>
            <w:tcW w:w="1481" w:type="dxa"/>
            <w:tcBorders>
              <w:top w:val="nil"/>
              <w:left w:val="nil"/>
              <w:bottom w:val="single" w:sz="4" w:space="0" w:color="C0C0C0"/>
              <w:right w:val="single" w:sz="4" w:space="0" w:color="000080"/>
            </w:tcBorders>
            <w:shd w:val="clear" w:color="auto" w:fill="auto"/>
            <w:noWrap/>
            <w:vAlign w:val="center"/>
            <w:hideMark/>
          </w:tcPr>
          <w:p w14:paraId="28756559"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338.867,13</w:t>
            </w:r>
          </w:p>
        </w:tc>
        <w:tc>
          <w:tcPr>
            <w:tcW w:w="1462" w:type="dxa"/>
            <w:tcBorders>
              <w:top w:val="nil"/>
              <w:left w:val="nil"/>
              <w:bottom w:val="single" w:sz="4" w:space="0" w:color="C0C0C0"/>
              <w:right w:val="single" w:sz="4" w:space="0" w:color="000080"/>
            </w:tcBorders>
            <w:shd w:val="clear" w:color="auto" w:fill="auto"/>
            <w:noWrap/>
            <w:vAlign w:val="center"/>
            <w:hideMark/>
          </w:tcPr>
          <w:p w14:paraId="3ABDCCB7"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345.798,71</w:t>
            </w:r>
          </w:p>
        </w:tc>
        <w:tc>
          <w:tcPr>
            <w:tcW w:w="967" w:type="dxa"/>
            <w:tcBorders>
              <w:top w:val="nil"/>
              <w:left w:val="nil"/>
              <w:bottom w:val="single" w:sz="4" w:space="0" w:color="C0C0C0"/>
              <w:right w:val="single" w:sz="4" w:space="0" w:color="000000"/>
            </w:tcBorders>
            <w:shd w:val="clear" w:color="auto" w:fill="auto"/>
            <w:noWrap/>
            <w:vAlign w:val="center"/>
            <w:hideMark/>
          </w:tcPr>
          <w:p w14:paraId="1E6369F7"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102,0</w:t>
            </w:r>
          </w:p>
        </w:tc>
      </w:tr>
      <w:tr w:rsidR="00F774AD" w:rsidRPr="00F774AD" w14:paraId="444AE7FB"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76AF7A1A" w14:textId="77777777" w:rsidR="00F774AD" w:rsidRPr="00F774AD" w:rsidRDefault="00F774AD" w:rsidP="00F774AD">
            <w:pPr>
              <w:rPr>
                <w:rFonts w:ascii="Arial" w:hAnsi="Arial" w:cs="Arial"/>
                <w:sz w:val="18"/>
                <w:szCs w:val="18"/>
              </w:rPr>
            </w:pPr>
            <w:r w:rsidRPr="00F774AD">
              <w:rPr>
                <w:rFonts w:ascii="Arial" w:hAnsi="Arial" w:cs="Arial"/>
                <w:sz w:val="18"/>
                <w:szCs w:val="18"/>
              </w:rPr>
              <w:t>049</w:t>
            </w:r>
          </w:p>
        </w:tc>
        <w:tc>
          <w:tcPr>
            <w:tcW w:w="8766" w:type="dxa"/>
            <w:tcBorders>
              <w:top w:val="nil"/>
              <w:left w:val="nil"/>
              <w:bottom w:val="single" w:sz="4" w:space="0" w:color="C0C0C0"/>
              <w:right w:val="single" w:sz="4" w:space="0" w:color="000080"/>
            </w:tcBorders>
            <w:shd w:val="clear" w:color="auto" w:fill="auto"/>
            <w:vAlign w:val="center"/>
            <w:hideMark/>
          </w:tcPr>
          <w:p w14:paraId="44EC2BE2" w14:textId="77777777" w:rsidR="00F774AD" w:rsidRPr="00F774AD" w:rsidRDefault="00F774AD" w:rsidP="00F774AD">
            <w:pPr>
              <w:rPr>
                <w:rFonts w:ascii="Arial" w:hAnsi="Arial" w:cs="Arial"/>
                <w:sz w:val="18"/>
                <w:szCs w:val="18"/>
              </w:rPr>
            </w:pPr>
            <w:r w:rsidRPr="00F774AD">
              <w:rPr>
                <w:rFonts w:ascii="Arial" w:hAnsi="Arial" w:cs="Arial"/>
                <w:sz w:val="18"/>
                <w:szCs w:val="18"/>
              </w:rPr>
              <w:t xml:space="preserve">Ispravak vrijednosti sitnog inventara i </w:t>
            </w:r>
            <w:proofErr w:type="spellStart"/>
            <w:r w:rsidRPr="00F774AD">
              <w:rPr>
                <w:rFonts w:ascii="Arial" w:hAnsi="Arial" w:cs="Arial"/>
                <w:sz w:val="18"/>
                <w:szCs w:val="18"/>
              </w:rPr>
              <w:t>autoguma</w:t>
            </w:r>
            <w:proofErr w:type="spellEnd"/>
            <w:r w:rsidRPr="00F774AD">
              <w:rPr>
                <w:rFonts w:ascii="Arial" w:hAnsi="Arial" w:cs="Arial"/>
                <w:sz w:val="18"/>
                <w:szCs w:val="18"/>
              </w:rPr>
              <w:t xml:space="preserve"> u upotrebi</w:t>
            </w:r>
          </w:p>
        </w:tc>
        <w:tc>
          <w:tcPr>
            <w:tcW w:w="717" w:type="dxa"/>
            <w:tcBorders>
              <w:top w:val="nil"/>
              <w:left w:val="nil"/>
              <w:bottom w:val="single" w:sz="4" w:space="0" w:color="C0C0C0"/>
              <w:right w:val="single" w:sz="4" w:space="0" w:color="000080"/>
            </w:tcBorders>
            <w:shd w:val="clear" w:color="auto" w:fill="auto"/>
            <w:vAlign w:val="center"/>
            <w:hideMark/>
          </w:tcPr>
          <w:p w14:paraId="335C616F"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049</w:t>
            </w:r>
          </w:p>
        </w:tc>
        <w:tc>
          <w:tcPr>
            <w:tcW w:w="1481" w:type="dxa"/>
            <w:tcBorders>
              <w:top w:val="nil"/>
              <w:left w:val="nil"/>
              <w:bottom w:val="single" w:sz="4" w:space="0" w:color="C0C0C0"/>
              <w:right w:val="single" w:sz="4" w:space="0" w:color="000080"/>
            </w:tcBorders>
            <w:shd w:val="clear" w:color="auto" w:fill="auto"/>
            <w:noWrap/>
            <w:vAlign w:val="center"/>
            <w:hideMark/>
          </w:tcPr>
          <w:p w14:paraId="7A129B1D"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338.867,13</w:t>
            </w:r>
          </w:p>
        </w:tc>
        <w:tc>
          <w:tcPr>
            <w:tcW w:w="1462" w:type="dxa"/>
            <w:tcBorders>
              <w:top w:val="nil"/>
              <w:left w:val="nil"/>
              <w:bottom w:val="single" w:sz="4" w:space="0" w:color="C0C0C0"/>
              <w:right w:val="single" w:sz="4" w:space="0" w:color="000080"/>
            </w:tcBorders>
            <w:shd w:val="clear" w:color="auto" w:fill="auto"/>
            <w:noWrap/>
            <w:vAlign w:val="center"/>
            <w:hideMark/>
          </w:tcPr>
          <w:p w14:paraId="36D5A5CA"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345.798,71</w:t>
            </w:r>
          </w:p>
        </w:tc>
        <w:tc>
          <w:tcPr>
            <w:tcW w:w="967" w:type="dxa"/>
            <w:tcBorders>
              <w:top w:val="nil"/>
              <w:left w:val="nil"/>
              <w:bottom w:val="single" w:sz="4" w:space="0" w:color="C0C0C0"/>
              <w:right w:val="single" w:sz="4" w:space="0" w:color="000000"/>
            </w:tcBorders>
            <w:shd w:val="clear" w:color="auto" w:fill="auto"/>
            <w:noWrap/>
            <w:vAlign w:val="center"/>
            <w:hideMark/>
          </w:tcPr>
          <w:p w14:paraId="3D4612C5"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102,0</w:t>
            </w:r>
          </w:p>
        </w:tc>
      </w:tr>
      <w:tr w:rsidR="00F774AD" w:rsidRPr="00F774AD" w14:paraId="5BF29566"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08B26EEA" w14:textId="77777777" w:rsidR="00F774AD" w:rsidRPr="00F774AD" w:rsidRDefault="00F774AD" w:rsidP="00F774AD">
            <w:pPr>
              <w:rPr>
                <w:rFonts w:ascii="Arial" w:hAnsi="Arial" w:cs="Arial"/>
                <w:sz w:val="18"/>
                <w:szCs w:val="18"/>
              </w:rPr>
            </w:pPr>
            <w:r w:rsidRPr="00F774AD">
              <w:rPr>
                <w:rFonts w:ascii="Arial" w:hAnsi="Arial" w:cs="Arial"/>
                <w:sz w:val="18"/>
                <w:szCs w:val="18"/>
              </w:rPr>
              <w:t>05</w:t>
            </w:r>
          </w:p>
        </w:tc>
        <w:tc>
          <w:tcPr>
            <w:tcW w:w="8766" w:type="dxa"/>
            <w:tcBorders>
              <w:top w:val="nil"/>
              <w:left w:val="nil"/>
              <w:bottom w:val="single" w:sz="4" w:space="0" w:color="C0C0C0"/>
              <w:right w:val="single" w:sz="4" w:space="0" w:color="000080"/>
            </w:tcBorders>
            <w:shd w:val="clear" w:color="auto" w:fill="auto"/>
            <w:vAlign w:val="center"/>
            <w:hideMark/>
          </w:tcPr>
          <w:p w14:paraId="4055BB9C" w14:textId="77777777" w:rsidR="00F774AD" w:rsidRPr="00F774AD" w:rsidRDefault="00F774AD" w:rsidP="00F774AD">
            <w:pPr>
              <w:rPr>
                <w:rFonts w:ascii="Arial" w:hAnsi="Arial" w:cs="Arial"/>
                <w:sz w:val="18"/>
                <w:szCs w:val="18"/>
              </w:rPr>
            </w:pPr>
            <w:r w:rsidRPr="00F774AD">
              <w:rPr>
                <w:rFonts w:ascii="Arial" w:hAnsi="Arial" w:cs="Arial"/>
                <w:sz w:val="18"/>
                <w:szCs w:val="18"/>
              </w:rPr>
              <w:t>Dugotrajna nefinancijska imovina u pripremi (šifre 051 do 056)</w:t>
            </w:r>
          </w:p>
        </w:tc>
        <w:tc>
          <w:tcPr>
            <w:tcW w:w="717" w:type="dxa"/>
            <w:tcBorders>
              <w:top w:val="nil"/>
              <w:left w:val="nil"/>
              <w:bottom w:val="single" w:sz="4" w:space="0" w:color="C0C0C0"/>
              <w:right w:val="single" w:sz="4" w:space="0" w:color="000080"/>
            </w:tcBorders>
            <w:shd w:val="clear" w:color="auto" w:fill="auto"/>
            <w:vAlign w:val="center"/>
            <w:hideMark/>
          </w:tcPr>
          <w:p w14:paraId="340B16C8"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05</w:t>
            </w:r>
          </w:p>
        </w:tc>
        <w:tc>
          <w:tcPr>
            <w:tcW w:w="1481" w:type="dxa"/>
            <w:tcBorders>
              <w:top w:val="nil"/>
              <w:left w:val="nil"/>
              <w:bottom w:val="single" w:sz="4" w:space="0" w:color="C0C0C0"/>
              <w:right w:val="single" w:sz="4" w:space="0" w:color="000080"/>
            </w:tcBorders>
            <w:shd w:val="clear" w:color="auto" w:fill="auto"/>
            <w:noWrap/>
            <w:vAlign w:val="center"/>
            <w:hideMark/>
          </w:tcPr>
          <w:p w14:paraId="2875B898"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3.973.221,53</w:t>
            </w:r>
          </w:p>
        </w:tc>
        <w:tc>
          <w:tcPr>
            <w:tcW w:w="1462" w:type="dxa"/>
            <w:tcBorders>
              <w:top w:val="nil"/>
              <w:left w:val="nil"/>
              <w:bottom w:val="single" w:sz="4" w:space="0" w:color="C0C0C0"/>
              <w:right w:val="single" w:sz="4" w:space="0" w:color="000080"/>
            </w:tcBorders>
            <w:shd w:val="clear" w:color="auto" w:fill="auto"/>
            <w:noWrap/>
            <w:vAlign w:val="center"/>
            <w:hideMark/>
          </w:tcPr>
          <w:p w14:paraId="47377310"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3.838.681,82</w:t>
            </w:r>
          </w:p>
        </w:tc>
        <w:tc>
          <w:tcPr>
            <w:tcW w:w="967" w:type="dxa"/>
            <w:tcBorders>
              <w:top w:val="nil"/>
              <w:left w:val="nil"/>
              <w:bottom w:val="single" w:sz="4" w:space="0" w:color="C0C0C0"/>
              <w:right w:val="single" w:sz="4" w:space="0" w:color="000000"/>
            </w:tcBorders>
            <w:shd w:val="clear" w:color="auto" w:fill="auto"/>
            <w:noWrap/>
            <w:vAlign w:val="center"/>
            <w:hideMark/>
          </w:tcPr>
          <w:p w14:paraId="35461078"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96,6</w:t>
            </w:r>
          </w:p>
        </w:tc>
      </w:tr>
      <w:tr w:rsidR="00F774AD" w:rsidRPr="00F774AD" w14:paraId="182611DA"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47B03B06" w14:textId="77777777" w:rsidR="00F774AD" w:rsidRPr="00F774AD" w:rsidRDefault="00F774AD" w:rsidP="00F774AD">
            <w:pPr>
              <w:rPr>
                <w:rFonts w:ascii="Arial" w:hAnsi="Arial" w:cs="Arial"/>
                <w:sz w:val="18"/>
                <w:szCs w:val="18"/>
              </w:rPr>
            </w:pPr>
            <w:r w:rsidRPr="00F774AD">
              <w:rPr>
                <w:rFonts w:ascii="Arial" w:hAnsi="Arial" w:cs="Arial"/>
                <w:sz w:val="18"/>
                <w:szCs w:val="18"/>
              </w:rPr>
              <w:t>055</w:t>
            </w:r>
          </w:p>
        </w:tc>
        <w:tc>
          <w:tcPr>
            <w:tcW w:w="8766" w:type="dxa"/>
            <w:tcBorders>
              <w:top w:val="nil"/>
              <w:left w:val="nil"/>
              <w:bottom w:val="single" w:sz="4" w:space="0" w:color="C0C0C0"/>
              <w:right w:val="single" w:sz="4" w:space="0" w:color="000080"/>
            </w:tcBorders>
            <w:shd w:val="clear" w:color="auto" w:fill="auto"/>
            <w:vAlign w:val="center"/>
            <w:hideMark/>
          </w:tcPr>
          <w:p w14:paraId="4ED5213B" w14:textId="77777777" w:rsidR="00F774AD" w:rsidRPr="00F774AD" w:rsidRDefault="00F774AD" w:rsidP="00F774AD">
            <w:pPr>
              <w:rPr>
                <w:rFonts w:ascii="Arial" w:hAnsi="Arial" w:cs="Arial"/>
                <w:sz w:val="18"/>
                <w:szCs w:val="18"/>
              </w:rPr>
            </w:pPr>
            <w:r w:rsidRPr="00F774AD">
              <w:rPr>
                <w:rFonts w:ascii="Arial" w:hAnsi="Arial" w:cs="Arial"/>
                <w:sz w:val="18"/>
                <w:szCs w:val="18"/>
              </w:rPr>
              <w:t>Ostala nematerijalna proizvedena imovina u pripremi</w:t>
            </w:r>
          </w:p>
        </w:tc>
        <w:tc>
          <w:tcPr>
            <w:tcW w:w="717" w:type="dxa"/>
            <w:tcBorders>
              <w:top w:val="nil"/>
              <w:left w:val="nil"/>
              <w:bottom w:val="single" w:sz="4" w:space="0" w:color="C0C0C0"/>
              <w:right w:val="single" w:sz="4" w:space="0" w:color="000080"/>
            </w:tcBorders>
            <w:shd w:val="clear" w:color="auto" w:fill="auto"/>
            <w:vAlign w:val="center"/>
            <w:hideMark/>
          </w:tcPr>
          <w:p w14:paraId="6168BC48"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055</w:t>
            </w:r>
          </w:p>
        </w:tc>
        <w:tc>
          <w:tcPr>
            <w:tcW w:w="1481" w:type="dxa"/>
            <w:tcBorders>
              <w:top w:val="nil"/>
              <w:left w:val="nil"/>
              <w:bottom w:val="single" w:sz="4" w:space="0" w:color="C0C0C0"/>
              <w:right w:val="single" w:sz="4" w:space="0" w:color="000080"/>
            </w:tcBorders>
            <w:shd w:val="clear" w:color="auto" w:fill="auto"/>
            <w:noWrap/>
            <w:vAlign w:val="center"/>
            <w:hideMark/>
          </w:tcPr>
          <w:p w14:paraId="0A0C0CEC"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3.693.875,93</w:t>
            </w:r>
          </w:p>
        </w:tc>
        <w:tc>
          <w:tcPr>
            <w:tcW w:w="1462" w:type="dxa"/>
            <w:tcBorders>
              <w:top w:val="nil"/>
              <w:left w:val="nil"/>
              <w:bottom w:val="single" w:sz="4" w:space="0" w:color="C0C0C0"/>
              <w:right w:val="single" w:sz="4" w:space="0" w:color="000080"/>
            </w:tcBorders>
            <w:shd w:val="clear" w:color="auto" w:fill="auto"/>
            <w:noWrap/>
            <w:vAlign w:val="center"/>
            <w:hideMark/>
          </w:tcPr>
          <w:p w14:paraId="0B586964"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3.827.750,93</w:t>
            </w:r>
          </w:p>
        </w:tc>
        <w:tc>
          <w:tcPr>
            <w:tcW w:w="967" w:type="dxa"/>
            <w:tcBorders>
              <w:top w:val="nil"/>
              <w:left w:val="nil"/>
              <w:bottom w:val="single" w:sz="4" w:space="0" w:color="C0C0C0"/>
              <w:right w:val="single" w:sz="4" w:space="0" w:color="000000"/>
            </w:tcBorders>
            <w:shd w:val="clear" w:color="auto" w:fill="auto"/>
            <w:noWrap/>
            <w:vAlign w:val="center"/>
            <w:hideMark/>
          </w:tcPr>
          <w:p w14:paraId="59CFE8E2"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103,6</w:t>
            </w:r>
          </w:p>
        </w:tc>
      </w:tr>
      <w:tr w:rsidR="00F774AD" w:rsidRPr="00F774AD" w14:paraId="642636AF"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1D08740B" w14:textId="77777777" w:rsidR="00F774AD" w:rsidRPr="00F774AD" w:rsidRDefault="00F774AD" w:rsidP="00F774AD">
            <w:pPr>
              <w:rPr>
                <w:rFonts w:ascii="Arial" w:hAnsi="Arial" w:cs="Arial"/>
                <w:sz w:val="18"/>
                <w:szCs w:val="18"/>
              </w:rPr>
            </w:pPr>
            <w:r w:rsidRPr="00F774AD">
              <w:rPr>
                <w:rFonts w:ascii="Arial" w:hAnsi="Arial" w:cs="Arial"/>
                <w:sz w:val="18"/>
                <w:szCs w:val="18"/>
              </w:rPr>
              <w:t>06</w:t>
            </w:r>
          </w:p>
        </w:tc>
        <w:tc>
          <w:tcPr>
            <w:tcW w:w="8766" w:type="dxa"/>
            <w:tcBorders>
              <w:top w:val="nil"/>
              <w:left w:val="nil"/>
              <w:bottom w:val="single" w:sz="4" w:space="0" w:color="C0C0C0"/>
              <w:right w:val="single" w:sz="4" w:space="0" w:color="000080"/>
            </w:tcBorders>
            <w:shd w:val="clear" w:color="auto" w:fill="auto"/>
            <w:vAlign w:val="center"/>
            <w:hideMark/>
          </w:tcPr>
          <w:p w14:paraId="68588DE1" w14:textId="77777777" w:rsidR="00F774AD" w:rsidRPr="00F774AD" w:rsidRDefault="00F774AD" w:rsidP="00F774AD">
            <w:pPr>
              <w:rPr>
                <w:rFonts w:ascii="Arial" w:hAnsi="Arial" w:cs="Arial"/>
                <w:sz w:val="18"/>
                <w:szCs w:val="18"/>
              </w:rPr>
            </w:pPr>
            <w:r w:rsidRPr="00F774AD">
              <w:rPr>
                <w:rFonts w:ascii="Arial" w:hAnsi="Arial" w:cs="Arial"/>
                <w:sz w:val="18"/>
                <w:szCs w:val="18"/>
              </w:rPr>
              <w:t>Proizvedena kratkotrajna imovina (šifre 061 do 065)</w:t>
            </w:r>
          </w:p>
        </w:tc>
        <w:tc>
          <w:tcPr>
            <w:tcW w:w="717" w:type="dxa"/>
            <w:tcBorders>
              <w:top w:val="nil"/>
              <w:left w:val="nil"/>
              <w:bottom w:val="single" w:sz="4" w:space="0" w:color="C0C0C0"/>
              <w:right w:val="single" w:sz="4" w:space="0" w:color="000080"/>
            </w:tcBorders>
            <w:shd w:val="clear" w:color="auto" w:fill="auto"/>
            <w:vAlign w:val="center"/>
            <w:hideMark/>
          </w:tcPr>
          <w:p w14:paraId="2847E04F"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06</w:t>
            </w:r>
          </w:p>
        </w:tc>
        <w:tc>
          <w:tcPr>
            <w:tcW w:w="1481" w:type="dxa"/>
            <w:tcBorders>
              <w:top w:val="nil"/>
              <w:left w:val="nil"/>
              <w:bottom w:val="single" w:sz="4" w:space="0" w:color="C0C0C0"/>
              <w:right w:val="single" w:sz="4" w:space="0" w:color="000080"/>
            </w:tcBorders>
            <w:shd w:val="clear" w:color="auto" w:fill="auto"/>
            <w:noWrap/>
            <w:vAlign w:val="center"/>
            <w:hideMark/>
          </w:tcPr>
          <w:p w14:paraId="6874FBEE"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23.920,19</w:t>
            </w:r>
          </w:p>
        </w:tc>
        <w:tc>
          <w:tcPr>
            <w:tcW w:w="1462" w:type="dxa"/>
            <w:tcBorders>
              <w:top w:val="nil"/>
              <w:left w:val="nil"/>
              <w:bottom w:val="single" w:sz="4" w:space="0" w:color="C0C0C0"/>
              <w:right w:val="single" w:sz="4" w:space="0" w:color="000080"/>
            </w:tcBorders>
            <w:shd w:val="clear" w:color="auto" w:fill="auto"/>
            <w:noWrap/>
            <w:vAlign w:val="center"/>
            <w:hideMark/>
          </w:tcPr>
          <w:p w14:paraId="6AF1D35E"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23.920,19</w:t>
            </w:r>
          </w:p>
        </w:tc>
        <w:tc>
          <w:tcPr>
            <w:tcW w:w="967" w:type="dxa"/>
            <w:tcBorders>
              <w:top w:val="nil"/>
              <w:left w:val="nil"/>
              <w:bottom w:val="single" w:sz="4" w:space="0" w:color="C0C0C0"/>
              <w:right w:val="single" w:sz="4" w:space="0" w:color="000000"/>
            </w:tcBorders>
            <w:shd w:val="clear" w:color="auto" w:fill="auto"/>
            <w:noWrap/>
            <w:vAlign w:val="center"/>
            <w:hideMark/>
          </w:tcPr>
          <w:p w14:paraId="5A46AB4B"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100,0</w:t>
            </w:r>
          </w:p>
        </w:tc>
      </w:tr>
      <w:tr w:rsidR="00F774AD" w:rsidRPr="00F774AD" w14:paraId="4540CE98"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290CBAA2" w14:textId="77777777" w:rsidR="00F774AD" w:rsidRPr="00F774AD" w:rsidRDefault="00F774AD" w:rsidP="00F774AD">
            <w:pPr>
              <w:rPr>
                <w:rFonts w:ascii="Arial" w:hAnsi="Arial" w:cs="Arial"/>
                <w:sz w:val="18"/>
                <w:szCs w:val="18"/>
              </w:rPr>
            </w:pPr>
            <w:r w:rsidRPr="00F774AD">
              <w:rPr>
                <w:rFonts w:ascii="Arial" w:hAnsi="Arial" w:cs="Arial"/>
                <w:sz w:val="18"/>
                <w:szCs w:val="18"/>
              </w:rPr>
              <w:t>061</w:t>
            </w:r>
          </w:p>
        </w:tc>
        <w:tc>
          <w:tcPr>
            <w:tcW w:w="8766" w:type="dxa"/>
            <w:tcBorders>
              <w:top w:val="nil"/>
              <w:left w:val="nil"/>
              <w:bottom w:val="single" w:sz="4" w:space="0" w:color="C0C0C0"/>
              <w:right w:val="single" w:sz="4" w:space="0" w:color="000080"/>
            </w:tcBorders>
            <w:shd w:val="clear" w:color="auto" w:fill="auto"/>
            <w:vAlign w:val="center"/>
            <w:hideMark/>
          </w:tcPr>
          <w:p w14:paraId="68609145" w14:textId="77777777" w:rsidR="00F774AD" w:rsidRPr="00F774AD" w:rsidRDefault="00F774AD" w:rsidP="00F774AD">
            <w:pPr>
              <w:rPr>
                <w:rFonts w:ascii="Arial" w:hAnsi="Arial" w:cs="Arial"/>
                <w:sz w:val="18"/>
                <w:szCs w:val="18"/>
              </w:rPr>
            </w:pPr>
            <w:r w:rsidRPr="00F774AD">
              <w:rPr>
                <w:rFonts w:ascii="Arial" w:hAnsi="Arial" w:cs="Arial"/>
                <w:sz w:val="18"/>
                <w:szCs w:val="18"/>
              </w:rPr>
              <w:t>Zalihe za obavljanje djelatnosti</w:t>
            </w:r>
          </w:p>
        </w:tc>
        <w:tc>
          <w:tcPr>
            <w:tcW w:w="717" w:type="dxa"/>
            <w:tcBorders>
              <w:top w:val="nil"/>
              <w:left w:val="nil"/>
              <w:bottom w:val="single" w:sz="4" w:space="0" w:color="C0C0C0"/>
              <w:right w:val="single" w:sz="4" w:space="0" w:color="000080"/>
            </w:tcBorders>
            <w:shd w:val="clear" w:color="auto" w:fill="auto"/>
            <w:vAlign w:val="center"/>
            <w:hideMark/>
          </w:tcPr>
          <w:p w14:paraId="5BB1FBA7"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061</w:t>
            </w:r>
          </w:p>
        </w:tc>
        <w:tc>
          <w:tcPr>
            <w:tcW w:w="1481" w:type="dxa"/>
            <w:tcBorders>
              <w:top w:val="nil"/>
              <w:left w:val="nil"/>
              <w:bottom w:val="single" w:sz="4" w:space="0" w:color="C0C0C0"/>
              <w:right w:val="single" w:sz="4" w:space="0" w:color="000080"/>
            </w:tcBorders>
            <w:shd w:val="clear" w:color="auto" w:fill="auto"/>
            <w:noWrap/>
            <w:vAlign w:val="center"/>
            <w:hideMark/>
          </w:tcPr>
          <w:p w14:paraId="56100B9C"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23.920,19</w:t>
            </w:r>
          </w:p>
        </w:tc>
        <w:tc>
          <w:tcPr>
            <w:tcW w:w="1462" w:type="dxa"/>
            <w:tcBorders>
              <w:top w:val="nil"/>
              <w:left w:val="nil"/>
              <w:bottom w:val="single" w:sz="4" w:space="0" w:color="C0C0C0"/>
              <w:right w:val="single" w:sz="4" w:space="0" w:color="000080"/>
            </w:tcBorders>
            <w:shd w:val="clear" w:color="auto" w:fill="auto"/>
            <w:noWrap/>
            <w:vAlign w:val="center"/>
            <w:hideMark/>
          </w:tcPr>
          <w:p w14:paraId="409A46A0"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23.920,19</w:t>
            </w:r>
          </w:p>
        </w:tc>
        <w:tc>
          <w:tcPr>
            <w:tcW w:w="967" w:type="dxa"/>
            <w:tcBorders>
              <w:top w:val="nil"/>
              <w:left w:val="nil"/>
              <w:bottom w:val="single" w:sz="4" w:space="0" w:color="C0C0C0"/>
              <w:right w:val="single" w:sz="4" w:space="0" w:color="000000"/>
            </w:tcBorders>
            <w:shd w:val="clear" w:color="auto" w:fill="auto"/>
            <w:noWrap/>
            <w:vAlign w:val="center"/>
            <w:hideMark/>
          </w:tcPr>
          <w:p w14:paraId="799431A0"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100,0</w:t>
            </w:r>
          </w:p>
        </w:tc>
      </w:tr>
      <w:tr w:rsidR="00F774AD" w:rsidRPr="00F774AD" w14:paraId="1FC68B4B"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1B7C3B4F" w14:textId="77777777" w:rsidR="00F774AD" w:rsidRPr="00F774AD" w:rsidRDefault="00F774AD" w:rsidP="00F774AD">
            <w:pPr>
              <w:rPr>
                <w:rFonts w:ascii="Arial" w:hAnsi="Arial" w:cs="Arial"/>
                <w:sz w:val="18"/>
                <w:szCs w:val="18"/>
              </w:rPr>
            </w:pPr>
            <w:r w:rsidRPr="00F774AD">
              <w:rPr>
                <w:rFonts w:ascii="Arial" w:hAnsi="Arial" w:cs="Arial"/>
                <w:sz w:val="18"/>
                <w:szCs w:val="18"/>
              </w:rPr>
              <w:t>1</w:t>
            </w:r>
          </w:p>
        </w:tc>
        <w:tc>
          <w:tcPr>
            <w:tcW w:w="8766" w:type="dxa"/>
            <w:tcBorders>
              <w:top w:val="nil"/>
              <w:left w:val="nil"/>
              <w:bottom w:val="single" w:sz="4" w:space="0" w:color="C0C0C0"/>
              <w:right w:val="single" w:sz="4" w:space="0" w:color="000080"/>
            </w:tcBorders>
            <w:shd w:val="clear" w:color="auto" w:fill="auto"/>
            <w:vAlign w:val="center"/>
            <w:hideMark/>
          </w:tcPr>
          <w:p w14:paraId="07FC1221" w14:textId="77777777" w:rsidR="00F774AD" w:rsidRPr="00F774AD" w:rsidRDefault="00F774AD" w:rsidP="00F774AD">
            <w:pPr>
              <w:rPr>
                <w:rFonts w:ascii="Arial" w:hAnsi="Arial" w:cs="Arial"/>
                <w:sz w:val="18"/>
                <w:szCs w:val="18"/>
              </w:rPr>
            </w:pPr>
            <w:r w:rsidRPr="00F774AD">
              <w:rPr>
                <w:rFonts w:ascii="Arial" w:hAnsi="Arial" w:cs="Arial"/>
                <w:sz w:val="18"/>
                <w:szCs w:val="18"/>
              </w:rPr>
              <w:t>Financijska imovina (šifre 11+12+13+14+15+16+17+19)</w:t>
            </w:r>
          </w:p>
        </w:tc>
        <w:tc>
          <w:tcPr>
            <w:tcW w:w="717" w:type="dxa"/>
            <w:tcBorders>
              <w:top w:val="nil"/>
              <w:left w:val="nil"/>
              <w:bottom w:val="single" w:sz="4" w:space="0" w:color="C0C0C0"/>
              <w:right w:val="single" w:sz="4" w:space="0" w:color="000080"/>
            </w:tcBorders>
            <w:shd w:val="clear" w:color="auto" w:fill="auto"/>
            <w:vAlign w:val="center"/>
            <w:hideMark/>
          </w:tcPr>
          <w:p w14:paraId="6C5039F4"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1</w:t>
            </w:r>
          </w:p>
        </w:tc>
        <w:tc>
          <w:tcPr>
            <w:tcW w:w="1481" w:type="dxa"/>
            <w:tcBorders>
              <w:top w:val="nil"/>
              <w:left w:val="nil"/>
              <w:bottom w:val="single" w:sz="4" w:space="0" w:color="C0C0C0"/>
              <w:right w:val="single" w:sz="4" w:space="0" w:color="000080"/>
            </w:tcBorders>
            <w:shd w:val="clear" w:color="auto" w:fill="auto"/>
            <w:noWrap/>
            <w:vAlign w:val="center"/>
            <w:hideMark/>
          </w:tcPr>
          <w:p w14:paraId="5CCC27CC"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303.139.414,05</w:t>
            </w:r>
          </w:p>
        </w:tc>
        <w:tc>
          <w:tcPr>
            <w:tcW w:w="1462" w:type="dxa"/>
            <w:tcBorders>
              <w:top w:val="nil"/>
              <w:left w:val="nil"/>
              <w:bottom w:val="single" w:sz="4" w:space="0" w:color="C0C0C0"/>
              <w:right w:val="single" w:sz="4" w:space="0" w:color="000080"/>
            </w:tcBorders>
            <w:shd w:val="clear" w:color="auto" w:fill="auto"/>
            <w:noWrap/>
            <w:vAlign w:val="center"/>
            <w:hideMark/>
          </w:tcPr>
          <w:p w14:paraId="1F1F9527"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389.925.933,51</w:t>
            </w:r>
          </w:p>
        </w:tc>
        <w:tc>
          <w:tcPr>
            <w:tcW w:w="967" w:type="dxa"/>
            <w:tcBorders>
              <w:top w:val="nil"/>
              <w:left w:val="nil"/>
              <w:bottom w:val="single" w:sz="4" w:space="0" w:color="C0C0C0"/>
              <w:right w:val="single" w:sz="4" w:space="0" w:color="000000"/>
            </w:tcBorders>
            <w:shd w:val="clear" w:color="auto" w:fill="auto"/>
            <w:noWrap/>
            <w:vAlign w:val="center"/>
            <w:hideMark/>
          </w:tcPr>
          <w:p w14:paraId="19A9BD0E"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128,6</w:t>
            </w:r>
          </w:p>
        </w:tc>
      </w:tr>
      <w:tr w:rsidR="00F774AD" w:rsidRPr="00F774AD" w14:paraId="134125EC"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1EDA817B" w14:textId="77777777" w:rsidR="00F774AD" w:rsidRPr="00F774AD" w:rsidRDefault="00F774AD" w:rsidP="00F774AD">
            <w:pPr>
              <w:rPr>
                <w:rFonts w:ascii="Arial" w:hAnsi="Arial" w:cs="Arial"/>
                <w:sz w:val="18"/>
                <w:szCs w:val="18"/>
              </w:rPr>
            </w:pPr>
            <w:r w:rsidRPr="00F774AD">
              <w:rPr>
                <w:rFonts w:ascii="Arial" w:hAnsi="Arial" w:cs="Arial"/>
                <w:sz w:val="18"/>
                <w:szCs w:val="18"/>
              </w:rPr>
              <w:t>11</w:t>
            </w:r>
          </w:p>
        </w:tc>
        <w:tc>
          <w:tcPr>
            <w:tcW w:w="8766" w:type="dxa"/>
            <w:tcBorders>
              <w:top w:val="nil"/>
              <w:left w:val="nil"/>
              <w:bottom w:val="single" w:sz="4" w:space="0" w:color="C0C0C0"/>
              <w:right w:val="single" w:sz="4" w:space="0" w:color="000080"/>
            </w:tcBorders>
            <w:shd w:val="clear" w:color="auto" w:fill="auto"/>
            <w:vAlign w:val="center"/>
            <w:hideMark/>
          </w:tcPr>
          <w:p w14:paraId="3FA61F3B" w14:textId="77777777" w:rsidR="00F774AD" w:rsidRPr="00F774AD" w:rsidRDefault="00F774AD" w:rsidP="00F774AD">
            <w:pPr>
              <w:rPr>
                <w:rFonts w:ascii="Arial" w:hAnsi="Arial" w:cs="Arial"/>
                <w:sz w:val="18"/>
                <w:szCs w:val="18"/>
              </w:rPr>
            </w:pPr>
            <w:r w:rsidRPr="00F774AD">
              <w:rPr>
                <w:rFonts w:ascii="Arial" w:hAnsi="Arial" w:cs="Arial"/>
                <w:sz w:val="18"/>
                <w:szCs w:val="18"/>
              </w:rPr>
              <w:t>Novac u banci i blagajni (šifre 111+112 do 114)</w:t>
            </w:r>
          </w:p>
        </w:tc>
        <w:tc>
          <w:tcPr>
            <w:tcW w:w="717" w:type="dxa"/>
            <w:tcBorders>
              <w:top w:val="nil"/>
              <w:left w:val="nil"/>
              <w:bottom w:val="single" w:sz="4" w:space="0" w:color="C0C0C0"/>
              <w:right w:val="single" w:sz="4" w:space="0" w:color="000080"/>
            </w:tcBorders>
            <w:shd w:val="clear" w:color="auto" w:fill="auto"/>
            <w:vAlign w:val="center"/>
            <w:hideMark/>
          </w:tcPr>
          <w:p w14:paraId="6308E237"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11</w:t>
            </w:r>
          </w:p>
        </w:tc>
        <w:tc>
          <w:tcPr>
            <w:tcW w:w="1481" w:type="dxa"/>
            <w:tcBorders>
              <w:top w:val="nil"/>
              <w:left w:val="nil"/>
              <w:bottom w:val="single" w:sz="4" w:space="0" w:color="C0C0C0"/>
              <w:right w:val="single" w:sz="4" w:space="0" w:color="000080"/>
            </w:tcBorders>
            <w:shd w:val="clear" w:color="auto" w:fill="auto"/>
            <w:noWrap/>
            <w:vAlign w:val="center"/>
            <w:hideMark/>
          </w:tcPr>
          <w:p w14:paraId="66DB3244"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90,00</w:t>
            </w:r>
          </w:p>
        </w:tc>
        <w:tc>
          <w:tcPr>
            <w:tcW w:w="1462" w:type="dxa"/>
            <w:tcBorders>
              <w:top w:val="nil"/>
              <w:left w:val="nil"/>
              <w:bottom w:val="single" w:sz="4" w:space="0" w:color="C0C0C0"/>
              <w:right w:val="single" w:sz="4" w:space="0" w:color="000080"/>
            </w:tcBorders>
            <w:shd w:val="clear" w:color="auto" w:fill="auto"/>
            <w:noWrap/>
            <w:vAlign w:val="center"/>
            <w:hideMark/>
          </w:tcPr>
          <w:p w14:paraId="02245630"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0,00</w:t>
            </w:r>
          </w:p>
        </w:tc>
        <w:tc>
          <w:tcPr>
            <w:tcW w:w="967" w:type="dxa"/>
            <w:tcBorders>
              <w:top w:val="nil"/>
              <w:left w:val="nil"/>
              <w:bottom w:val="single" w:sz="4" w:space="0" w:color="C0C0C0"/>
              <w:right w:val="single" w:sz="4" w:space="0" w:color="000000"/>
            </w:tcBorders>
            <w:shd w:val="clear" w:color="auto" w:fill="auto"/>
            <w:noWrap/>
            <w:vAlign w:val="center"/>
            <w:hideMark/>
          </w:tcPr>
          <w:p w14:paraId="470B301A"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0,0</w:t>
            </w:r>
          </w:p>
        </w:tc>
      </w:tr>
      <w:tr w:rsidR="00F774AD" w:rsidRPr="00F774AD" w14:paraId="38233959"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2CE21110" w14:textId="77777777" w:rsidR="00F774AD" w:rsidRPr="00F774AD" w:rsidRDefault="00F774AD" w:rsidP="00F774AD">
            <w:pPr>
              <w:rPr>
                <w:rFonts w:ascii="Arial" w:hAnsi="Arial" w:cs="Arial"/>
                <w:sz w:val="18"/>
                <w:szCs w:val="18"/>
              </w:rPr>
            </w:pPr>
            <w:r w:rsidRPr="00F774AD">
              <w:rPr>
                <w:rFonts w:ascii="Arial" w:hAnsi="Arial" w:cs="Arial"/>
                <w:sz w:val="18"/>
                <w:szCs w:val="18"/>
              </w:rPr>
              <w:t>113</w:t>
            </w:r>
          </w:p>
        </w:tc>
        <w:tc>
          <w:tcPr>
            <w:tcW w:w="8766" w:type="dxa"/>
            <w:tcBorders>
              <w:top w:val="nil"/>
              <w:left w:val="nil"/>
              <w:bottom w:val="single" w:sz="4" w:space="0" w:color="C0C0C0"/>
              <w:right w:val="single" w:sz="4" w:space="0" w:color="000080"/>
            </w:tcBorders>
            <w:shd w:val="clear" w:color="auto" w:fill="auto"/>
            <w:vAlign w:val="center"/>
            <w:hideMark/>
          </w:tcPr>
          <w:p w14:paraId="77B55B91" w14:textId="77777777" w:rsidR="00F774AD" w:rsidRPr="00F774AD" w:rsidRDefault="00F774AD" w:rsidP="00F774AD">
            <w:pPr>
              <w:rPr>
                <w:rFonts w:ascii="Arial" w:hAnsi="Arial" w:cs="Arial"/>
                <w:sz w:val="18"/>
                <w:szCs w:val="18"/>
              </w:rPr>
            </w:pPr>
            <w:r w:rsidRPr="00F774AD">
              <w:rPr>
                <w:rFonts w:ascii="Arial" w:hAnsi="Arial" w:cs="Arial"/>
                <w:sz w:val="18"/>
                <w:szCs w:val="18"/>
              </w:rPr>
              <w:t>Novac u blagajni</w:t>
            </w:r>
          </w:p>
        </w:tc>
        <w:tc>
          <w:tcPr>
            <w:tcW w:w="717" w:type="dxa"/>
            <w:tcBorders>
              <w:top w:val="nil"/>
              <w:left w:val="nil"/>
              <w:bottom w:val="single" w:sz="4" w:space="0" w:color="C0C0C0"/>
              <w:right w:val="single" w:sz="4" w:space="0" w:color="000080"/>
            </w:tcBorders>
            <w:shd w:val="clear" w:color="auto" w:fill="auto"/>
            <w:vAlign w:val="center"/>
            <w:hideMark/>
          </w:tcPr>
          <w:p w14:paraId="0386B1D5"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113</w:t>
            </w:r>
          </w:p>
        </w:tc>
        <w:tc>
          <w:tcPr>
            <w:tcW w:w="1481" w:type="dxa"/>
            <w:tcBorders>
              <w:top w:val="nil"/>
              <w:left w:val="nil"/>
              <w:bottom w:val="single" w:sz="4" w:space="0" w:color="C0C0C0"/>
              <w:right w:val="single" w:sz="4" w:space="0" w:color="000080"/>
            </w:tcBorders>
            <w:shd w:val="clear" w:color="auto" w:fill="auto"/>
            <w:noWrap/>
            <w:vAlign w:val="center"/>
            <w:hideMark/>
          </w:tcPr>
          <w:p w14:paraId="6160D812"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90,00</w:t>
            </w:r>
          </w:p>
        </w:tc>
        <w:tc>
          <w:tcPr>
            <w:tcW w:w="1462" w:type="dxa"/>
            <w:tcBorders>
              <w:top w:val="nil"/>
              <w:left w:val="nil"/>
              <w:bottom w:val="single" w:sz="4" w:space="0" w:color="C0C0C0"/>
              <w:right w:val="single" w:sz="4" w:space="0" w:color="000080"/>
            </w:tcBorders>
            <w:shd w:val="clear" w:color="auto" w:fill="auto"/>
            <w:noWrap/>
            <w:vAlign w:val="center"/>
            <w:hideMark/>
          </w:tcPr>
          <w:p w14:paraId="5B4E245F"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 </w:t>
            </w:r>
          </w:p>
        </w:tc>
        <w:tc>
          <w:tcPr>
            <w:tcW w:w="967" w:type="dxa"/>
            <w:tcBorders>
              <w:top w:val="nil"/>
              <w:left w:val="nil"/>
              <w:bottom w:val="single" w:sz="4" w:space="0" w:color="C0C0C0"/>
              <w:right w:val="single" w:sz="4" w:space="0" w:color="000000"/>
            </w:tcBorders>
            <w:shd w:val="clear" w:color="auto" w:fill="auto"/>
            <w:noWrap/>
            <w:vAlign w:val="center"/>
            <w:hideMark/>
          </w:tcPr>
          <w:p w14:paraId="5FD637B0"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0,0</w:t>
            </w:r>
          </w:p>
        </w:tc>
      </w:tr>
      <w:tr w:rsidR="00F774AD" w:rsidRPr="00F774AD" w14:paraId="654301B0" w14:textId="77777777" w:rsidTr="00F774AD">
        <w:trPr>
          <w:trHeight w:val="480"/>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37A9769D" w14:textId="77777777" w:rsidR="00F774AD" w:rsidRPr="00F774AD" w:rsidRDefault="00F774AD" w:rsidP="00F774AD">
            <w:pPr>
              <w:rPr>
                <w:rFonts w:ascii="Arial" w:hAnsi="Arial" w:cs="Arial"/>
                <w:sz w:val="18"/>
                <w:szCs w:val="18"/>
              </w:rPr>
            </w:pPr>
            <w:r w:rsidRPr="00F774AD">
              <w:rPr>
                <w:rFonts w:ascii="Arial" w:hAnsi="Arial" w:cs="Arial"/>
                <w:sz w:val="18"/>
                <w:szCs w:val="18"/>
              </w:rPr>
              <w:t>12</w:t>
            </w:r>
          </w:p>
        </w:tc>
        <w:tc>
          <w:tcPr>
            <w:tcW w:w="8766" w:type="dxa"/>
            <w:tcBorders>
              <w:top w:val="nil"/>
              <w:left w:val="nil"/>
              <w:bottom w:val="single" w:sz="4" w:space="0" w:color="C0C0C0"/>
              <w:right w:val="single" w:sz="4" w:space="0" w:color="000080"/>
            </w:tcBorders>
            <w:shd w:val="clear" w:color="auto" w:fill="auto"/>
            <w:vAlign w:val="center"/>
            <w:hideMark/>
          </w:tcPr>
          <w:p w14:paraId="7B383DD2" w14:textId="77777777" w:rsidR="00F774AD" w:rsidRPr="00F774AD" w:rsidRDefault="00F774AD" w:rsidP="00F774AD">
            <w:pPr>
              <w:rPr>
                <w:rFonts w:ascii="Arial" w:hAnsi="Arial" w:cs="Arial"/>
                <w:sz w:val="18"/>
                <w:szCs w:val="18"/>
              </w:rPr>
            </w:pPr>
            <w:r w:rsidRPr="00F774AD">
              <w:rPr>
                <w:rFonts w:ascii="Arial" w:hAnsi="Arial" w:cs="Arial"/>
                <w:sz w:val="18"/>
                <w:szCs w:val="18"/>
              </w:rPr>
              <w:t xml:space="preserve">Potraživanja za </w:t>
            </w:r>
            <w:proofErr w:type="spellStart"/>
            <w:r w:rsidRPr="00F774AD">
              <w:rPr>
                <w:rFonts w:ascii="Arial" w:hAnsi="Arial" w:cs="Arial"/>
                <w:sz w:val="18"/>
                <w:szCs w:val="18"/>
              </w:rPr>
              <w:t>jamčevne</w:t>
            </w:r>
            <w:proofErr w:type="spellEnd"/>
            <w:r w:rsidRPr="00F774AD">
              <w:rPr>
                <w:rFonts w:ascii="Arial" w:hAnsi="Arial" w:cs="Arial"/>
                <w:sz w:val="18"/>
                <w:szCs w:val="18"/>
              </w:rPr>
              <w:t xml:space="preserve"> </w:t>
            </w:r>
            <w:proofErr w:type="spellStart"/>
            <w:r w:rsidRPr="00F774AD">
              <w:rPr>
                <w:rFonts w:ascii="Arial" w:hAnsi="Arial" w:cs="Arial"/>
                <w:sz w:val="18"/>
                <w:szCs w:val="18"/>
              </w:rPr>
              <w:t>pologe</w:t>
            </w:r>
            <w:proofErr w:type="spellEnd"/>
            <w:r w:rsidRPr="00F774AD">
              <w:rPr>
                <w:rFonts w:ascii="Arial" w:hAnsi="Arial" w:cs="Arial"/>
                <w:sz w:val="18"/>
                <w:szCs w:val="18"/>
              </w:rPr>
              <w:t>, od zaposlenih te za više plaćene poreze i ostalo (šifre 122 do 124 - 125 + 129)</w:t>
            </w:r>
          </w:p>
        </w:tc>
        <w:tc>
          <w:tcPr>
            <w:tcW w:w="717" w:type="dxa"/>
            <w:tcBorders>
              <w:top w:val="nil"/>
              <w:left w:val="nil"/>
              <w:bottom w:val="single" w:sz="4" w:space="0" w:color="C0C0C0"/>
              <w:right w:val="single" w:sz="4" w:space="0" w:color="000080"/>
            </w:tcBorders>
            <w:shd w:val="clear" w:color="auto" w:fill="auto"/>
            <w:vAlign w:val="center"/>
            <w:hideMark/>
          </w:tcPr>
          <w:p w14:paraId="37A8AADC"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12</w:t>
            </w:r>
          </w:p>
        </w:tc>
        <w:tc>
          <w:tcPr>
            <w:tcW w:w="1481" w:type="dxa"/>
            <w:tcBorders>
              <w:top w:val="nil"/>
              <w:left w:val="nil"/>
              <w:bottom w:val="single" w:sz="4" w:space="0" w:color="C0C0C0"/>
              <w:right w:val="single" w:sz="4" w:space="0" w:color="000080"/>
            </w:tcBorders>
            <w:shd w:val="clear" w:color="auto" w:fill="auto"/>
            <w:noWrap/>
            <w:vAlign w:val="center"/>
            <w:hideMark/>
          </w:tcPr>
          <w:p w14:paraId="5CAF8047"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20.877.899,35</w:t>
            </w:r>
          </w:p>
        </w:tc>
        <w:tc>
          <w:tcPr>
            <w:tcW w:w="1462" w:type="dxa"/>
            <w:tcBorders>
              <w:top w:val="nil"/>
              <w:left w:val="nil"/>
              <w:bottom w:val="single" w:sz="4" w:space="0" w:color="C0C0C0"/>
              <w:right w:val="single" w:sz="4" w:space="0" w:color="000080"/>
            </w:tcBorders>
            <w:shd w:val="clear" w:color="auto" w:fill="auto"/>
            <w:noWrap/>
            <w:vAlign w:val="center"/>
            <w:hideMark/>
          </w:tcPr>
          <w:p w14:paraId="53D91323"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128.811.862,79</w:t>
            </w:r>
          </w:p>
        </w:tc>
        <w:tc>
          <w:tcPr>
            <w:tcW w:w="967" w:type="dxa"/>
            <w:tcBorders>
              <w:top w:val="nil"/>
              <w:left w:val="nil"/>
              <w:bottom w:val="single" w:sz="4" w:space="0" w:color="C0C0C0"/>
              <w:right w:val="single" w:sz="4" w:space="0" w:color="000000"/>
            </w:tcBorders>
            <w:shd w:val="clear" w:color="auto" w:fill="auto"/>
            <w:noWrap/>
            <w:vAlign w:val="center"/>
            <w:hideMark/>
          </w:tcPr>
          <w:p w14:paraId="49BFFC68"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617,0</w:t>
            </w:r>
          </w:p>
        </w:tc>
      </w:tr>
      <w:tr w:rsidR="00F774AD" w:rsidRPr="00F774AD" w14:paraId="68B21E4C"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1224E10C" w14:textId="77777777" w:rsidR="00F774AD" w:rsidRPr="00F774AD" w:rsidRDefault="00F774AD" w:rsidP="00F774AD">
            <w:pPr>
              <w:rPr>
                <w:rFonts w:ascii="Arial" w:hAnsi="Arial" w:cs="Arial"/>
                <w:sz w:val="18"/>
                <w:szCs w:val="18"/>
              </w:rPr>
            </w:pPr>
            <w:r w:rsidRPr="00F774AD">
              <w:rPr>
                <w:rFonts w:ascii="Arial" w:hAnsi="Arial" w:cs="Arial"/>
                <w:sz w:val="18"/>
                <w:szCs w:val="18"/>
              </w:rPr>
              <w:t>123</w:t>
            </w:r>
          </w:p>
        </w:tc>
        <w:tc>
          <w:tcPr>
            <w:tcW w:w="8766" w:type="dxa"/>
            <w:tcBorders>
              <w:top w:val="nil"/>
              <w:left w:val="nil"/>
              <w:bottom w:val="single" w:sz="4" w:space="0" w:color="C0C0C0"/>
              <w:right w:val="single" w:sz="4" w:space="0" w:color="000080"/>
            </w:tcBorders>
            <w:shd w:val="clear" w:color="auto" w:fill="auto"/>
            <w:vAlign w:val="center"/>
            <w:hideMark/>
          </w:tcPr>
          <w:p w14:paraId="2BDA4BD3" w14:textId="77777777" w:rsidR="00F774AD" w:rsidRPr="00F774AD" w:rsidRDefault="00F774AD" w:rsidP="00F774AD">
            <w:pPr>
              <w:rPr>
                <w:rFonts w:ascii="Arial" w:hAnsi="Arial" w:cs="Arial"/>
                <w:sz w:val="18"/>
                <w:szCs w:val="18"/>
              </w:rPr>
            </w:pPr>
            <w:r w:rsidRPr="00F774AD">
              <w:rPr>
                <w:rFonts w:ascii="Arial" w:hAnsi="Arial" w:cs="Arial"/>
                <w:sz w:val="18"/>
                <w:szCs w:val="18"/>
              </w:rPr>
              <w:t>Potraživanja od zaposlenih</w:t>
            </w:r>
          </w:p>
        </w:tc>
        <w:tc>
          <w:tcPr>
            <w:tcW w:w="717" w:type="dxa"/>
            <w:tcBorders>
              <w:top w:val="nil"/>
              <w:left w:val="nil"/>
              <w:bottom w:val="single" w:sz="4" w:space="0" w:color="C0C0C0"/>
              <w:right w:val="single" w:sz="4" w:space="0" w:color="000080"/>
            </w:tcBorders>
            <w:shd w:val="clear" w:color="auto" w:fill="auto"/>
            <w:vAlign w:val="center"/>
            <w:hideMark/>
          </w:tcPr>
          <w:p w14:paraId="709B958C"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123</w:t>
            </w:r>
          </w:p>
        </w:tc>
        <w:tc>
          <w:tcPr>
            <w:tcW w:w="1481" w:type="dxa"/>
            <w:tcBorders>
              <w:top w:val="nil"/>
              <w:left w:val="nil"/>
              <w:bottom w:val="single" w:sz="4" w:space="0" w:color="C0C0C0"/>
              <w:right w:val="single" w:sz="4" w:space="0" w:color="000080"/>
            </w:tcBorders>
            <w:shd w:val="clear" w:color="auto" w:fill="auto"/>
            <w:noWrap/>
            <w:vAlign w:val="center"/>
            <w:hideMark/>
          </w:tcPr>
          <w:p w14:paraId="1BC50908"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4.597,20</w:t>
            </w:r>
          </w:p>
        </w:tc>
        <w:tc>
          <w:tcPr>
            <w:tcW w:w="1462" w:type="dxa"/>
            <w:tcBorders>
              <w:top w:val="nil"/>
              <w:left w:val="nil"/>
              <w:bottom w:val="single" w:sz="4" w:space="0" w:color="C0C0C0"/>
              <w:right w:val="single" w:sz="4" w:space="0" w:color="000080"/>
            </w:tcBorders>
            <w:shd w:val="clear" w:color="auto" w:fill="auto"/>
            <w:noWrap/>
            <w:vAlign w:val="center"/>
            <w:hideMark/>
          </w:tcPr>
          <w:p w14:paraId="70F84468"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3.809,65</w:t>
            </w:r>
          </w:p>
        </w:tc>
        <w:tc>
          <w:tcPr>
            <w:tcW w:w="967" w:type="dxa"/>
            <w:tcBorders>
              <w:top w:val="nil"/>
              <w:left w:val="nil"/>
              <w:bottom w:val="single" w:sz="4" w:space="0" w:color="C0C0C0"/>
              <w:right w:val="single" w:sz="4" w:space="0" w:color="000000"/>
            </w:tcBorders>
            <w:shd w:val="clear" w:color="auto" w:fill="auto"/>
            <w:noWrap/>
            <w:vAlign w:val="center"/>
            <w:hideMark/>
          </w:tcPr>
          <w:p w14:paraId="7F653513"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82,9</w:t>
            </w:r>
          </w:p>
        </w:tc>
      </w:tr>
      <w:tr w:rsidR="00F774AD" w:rsidRPr="00F774AD" w14:paraId="00D6BBBF"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40EF99E6" w14:textId="77777777" w:rsidR="00F774AD" w:rsidRPr="00F774AD" w:rsidRDefault="00F774AD" w:rsidP="00F774AD">
            <w:pPr>
              <w:rPr>
                <w:rFonts w:ascii="Arial" w:hAnsi="Arial" w:cs="Arial"/>
                <w:sz w:val="18"/>
                <w:szCs w:val="18"/>
              </w:rPr>
            </w:pPr>
            <w:r w:rsidRPr="00F774AD">
              <w:rPr>
                <w:rFonts w:ascii="Arial" w:hAnsi="Arial" w:cs="Arial"/>
                <w:sz w:val="18"/>
                <w:szCs w:val="18"/>
              </w:rPr>
              <w:t>129</w:t>
            </w:r>
          </w:p>
        </w:tc>
        <w:tc>
          <w:tcPr>
            <w:tcW w:w="8766" w:type="dxa"/>
            <w:tcBorders>
              <w:top w:val="nil"/>
              <w:left w:val="nil"/>
              <w:bottom w:val="single" w:sz="4" w:space="0" w:color="C0C0C0"/>
              <w:right w:val="single" w:sz="4" w:space="0" w:color="000080"/>
            </w:tcBorders>
            <w:shd w:val="clear" w:color="auto" w:fill="auto"/>
            <w:vAlign w:val="center"/>
            <w:hideMark/>
          </w:tcPr>
          <w:p w14:paraId="42EFD2FD" w14:textId="77777777" w:rsidR="00F774AD" w:rsidRPr="00F774AD" w:rsidRDefault="00F774AD" w:rsidP="00F774AD">
            <w:pPr>
              <w:rPr>
                <w:rFonts w:ascii="Arial" w:hAnsi="Arial" w:cs="Arial"/>
                <w:sz w:val="18"/>
                <w:szCs w:val="18"/>
              </w:rPr>
            </w:pPr>
            <w:r w:rsidRPr="00F774AD">
              <w:rPr>
                <w:rFonts w:ascii="Arial" w:hAnsi="Arial" w:cs="Arial"/>
                <w:sz w:val="18"/>
                <w:szCs w:val="18"/>
              </w:rPr>
              <w:t>Ostala potraživanja</w:t>
            </w:r>
          </w:p>
        </w:tc>
        <w:tc>
          <w:tcPr>
            <w:tcW w:w="717" w:type="dxa"/>
            <w:tcBorders>
              <w:top w:val="nil"/>
              <w:left w:val="nil"/>
              <w:bottom w:val="single" w:sz="4" w:space="0" w:color="C0C0C0"/>
              <w:right w:val="single" w:sz="4" w:space="0" w:color="000080"/>
            </w:tcBorders>
            <w:shd w:val="clear" w:color="auto" w:fill="auto"/>
            <w:vAlign w:val="center"/>
            <w:hideMark/>
          </w:tcPr>
          <w:p w14:paraId="057E03DD"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129</w:t>
            </w:r>
          </w:p>
        </w:tc>
        <w:tc>
          <w:tcPr>
            <w:tcW w:w="1481" w:type="dxa"/>
            <w:tcBorders>
              <w:top w:val="nil"/>
              <w:left w:val="nil"/>
              <w:bottom w:val="single" w:sz="4" w:space="0" w:color="C0C0C0"/>
              <w:right w:val="single" w:sz="4" w:space="0" w:color="000080"/>
            </w:tcBorders>
            <w:shd w:val="clear" w:color="auto" w:fill="auto"/>
            <w:noWrap/>
            <w:vAlign w:val="center"/>
            <w:hideMark/>
          </w:tcPr>
          <w:p w14:paraId="4E66E17E"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20.873.302,15</w:t>
            </w:r>
          </w:p>
        </w:tc>
        <w:tc>
          <w:tcPr>
            <w:tcW w:w="1462" w:type="dxa"/>
            <w:tcBorders>
              <w:top w:val="nil"/>
              <w:left w:val="nil"/>
              <w:bottom w:val="single" w:sz="4" w:space="0" w:color="C0C0C0"/>
              <w:right w:val="single" w:sz="4" w:space="0" w:color="000080"/>
            </w:tcBorders>
            <w:shd w:val="clear" w:color="auto" w:fill="auto"/>
            <w:noWrap/>
            <w:vAlign w:val="center"/>
            <w:hideMark/>
          </w:tcPr>
          <w:p w14:paraId="5BE57F0E"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128.808.053,14</w:t>
            </w:r>
          </w:p>
        </w:tc>
        <w:tc>
          <w:tcPr>
            <w:tcW w:w="967" w:type="dxa"/>
            <w:tcBorders>
              <w:top w:val="nil"/>
              <w:left w:val="nil"/>
              <w:bottom w:val="single" w:sz="4" w:space="0" w:color="C0C0C0"/>
              <w:right w:val="single" w:sz="4" w:space="0" w:color="000000"/>
            </w:tcBorders>
            <w:shd w:val="clear" w:color="auto" w:fill="auto"/>
            <w:noWrap/>
            <w:vAlign w:val="center"/>
            <w:hideMark/>
          </w:tcPr>
          <w:p w14:paraId="0E482597"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617,1</w:t>
            </w:r>
          </w:p>
        </w:tc>
      </w:tr>
      <w:tr w:rsidR="00F774AD" w:rsidRPr="00F774AD" w14:paraId="683DD9AD"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48ED301B" w14:textId="77777777" w:rsidR="00F774AD" w:rsidRPr="00F774AD" w:rsidRDefault="00F774AD" w:rsidP="00F774AD">
            <w:pPr>
              <w:rPr>
                <w:rFonts w:ascii="Arial" w:hAnsi="Arial" w:cs="Arial"/>
                <w:sz w:val="18"/>
                <w:szCs w:val="18"/>
              </w:rPr>
            </w:pPr>
            <w:r w:rsidRPr="00F774AD">
              <w:rPr>
                <w:rFonts w:ascii="Arial" w:hAnsi="Arial" w:cs="Arial"/>
                <w:sz w:val="18"/>
                <w:szCs w:val="18"/>
              </w:rPr>
              <w:t>13</w:t>
            </w:r>
          </w:p>
        </w:tc>
        <w:tc>
          <w:tcPr>
            <w:tcW w:w="8766" w:type="dxa"/>
            <w:tcBorders>
              <w:top w:val="nil"/>
              <w:left w:val="nil"/>
              <w:bottom w:val="single" w:sz="4" w:space="0" w:color="C0C0C0"/>
              <w:right w:val="single" w:sz="4" w:space="0" w:color="000080"/>
            </w:tcBorders>
            <w:shd w:val="clear" w:color="auto" w:fill="auto"/>
            <w:vAlign w:val="center"/>
            <w:hideMark/>
          </w:tcPr>
          <w:p w14:paraId="4E5B4B9C" w14:textId="77777777" w:rsidR="00F774AD" w:rsidRPr="00F774AD" w:rsidRDefault="00F774AD" w:rsidP="00F774AD">
            <w:pPr>
              <w:rPr>
                <w:rFonts w:ascii="Arial" w:hAnsi="Arial" w:cs="Arial"/>
                <w:sz w:val="18"/>
                <w:szCs w:val="18"/>
              </w:rPr>
            </w:pPr>
            <w:r w:rsidRPr="00F774AD">
              <w:rPr>
                <w:rFonts w:ascii="Arial" w:hAnsi="Arial" w:cs="Arial"/>
                <w:sz w:val="18"/>
                <w:szCs w:val="18"/>
              </w:rPr>
              <w:t>Potraživanja za dane zajmove (šifre 13X1+13X2-139)</w:t>
            </w:r>
          </w:p>
        </w:tc>
        <w:tc>
          <w:tcPr>
            <w:tcW w:w="717" w:type="dxa"/>
            <w:tcBorders>
              <w:top w:val="nil"/>
              <w:left w:val="nil"/>
              <w:bottom w:val="single" w:sz="4" w:space="0" w:color="C0C0C0"/>
              <w:right w:val="single" w:sz="4" w:space="0" w:color="000080"/>
            </w:tcBorders>
            <w:shd w:val="clear" w:color="auto" w:fill="auto"/>
            <w:vAlign w:val="center"/>
            <w:hideMark/>
          </w:tcPr>
          <w:p w14:paraId="1F706FC6"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13</w:t>
            </w:r>
          </w:p>
        </w:tc>
        <w:tc>
          <w:tcPr>
            <w:tcW w:w="1481" w:type="dxa"/>
            <w:tcBorders>
              <w:top w:val="nil"/>
              <w:left w:val="nil"/>
              <w:bottom w:val="single" w:sz="4" w:space="0" w:color="C0C0C0"/>
              <w:right w:val="single" w:sz="4" w:space="0" w:color="000080"/>
            </w:tcBorders>
            <w:shd w:val="clear" w:color="auto" w:fill="auto"/>
            <w:noWrap/>
            <w:vAlign w:val="center"/>
            <w:hideMark/>
          </w:tcPr>
          <w:p w14:paraId="377CB913"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147.621.866,19</w:t>
            </w:r>
          </w:p>
        </w:tc>
        <w:tc>
          <w:tcPr>
            <w:tcW w:w="1462" w:type="dxa"/>
            <w:tcBorders>
              <w:top w:val="nil"/>
              <w:left w:val="nil"/>
              <w:bottom w:val="single" w:sz="4" w:space="0" w:color="C0C0C0"/>
              <w:right w:val="single" w:sz="4" w:space="0" w:color="000080"/>
            </w:tcBorders>
            <w:shd w:val="clear" w:color="auto" w:fill="auto"/>
            <w:noWrap/>
            <w:vAlign w:val="center"/>
            <w:hideMark/>
          </w:tcPr>
          <w:p w14:paraId="46D4E5F1"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96.586.087,99</w:t>
            </w:r>
          </w:p>
        </w:tc>
        <w:tc>
          <w:tcPr>
            <w:tcW w:w="967" w:type="dxa"/>
            <w:tcBorders>
              <w:top w:val="nil"/>
              <w:left w:val="nil"/>
              <w:bottom w:val="single" w:sz="4" w:space="0" w:color="C0C0C0"/>
              <w:right w:val="single" w:sz="4" w:space="0" w:color="000000"/>
            </w:tcBorders>
            <w:shd w:val="clear" w:color="auto" w:fill="auto"/>
            <w:noWrap/>
            <w:vAlign w:val="center"/>
            <w:hideMark/>
          </w:tcPr>
          <w:p w14:paraId="708638CC"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65,4</w:t>
            </w:r>
          </w:p>
        </w:tc>
      </w:tr>
      <w:tr w:rsidR="00F774AD" w:rsidRPr="00F774AD" w14:paraId="5DCFE131" w14:textId="77777777" w:rsidTr="00F774AD">
        <w:trPr>
          <w:trHeight w:val="720"/>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27D4AD85" w14:textId="77777777" w:rsidR="00F774AD" w:rsidRPr="00F774AD" w:rsidRDefault="00F774AD" w:rsidP="00F774AD">
            <w:pPr>
              <w:rPr>
                <w:rFonts w:ascii="Arial" w:hAnsi="Arial" w:cs="Arial"/>
                <w:sz w:val="18"/>
                <w:szCs w:val="18"/>
              </w:rPr>
            </w:pPr>
            <w:r w:rsidRPr="00F774AD">
              <w:rPr>
                <w:rFonts w:ascii="Arial" w:hAnsi="Arial" w:cs="Arial"/>
                <w:sz w:val="18"/>
                <w:szCs w:val="18"/>
              </w:rPr>
              <w:t> </w:t>
            </w:r>
          </w:p>
        </w:tc>
        <w:tc>
          <w:tcPr>
            <w:tcW w:w="8766" w:type="dxa"/>
            <w:tcBorders>
              <w:top w:val="nil"/>
              <w:left w:val="nil"/>
              <w:bottom w:val="single" w:sz="4" w:space="0" w:color="C0C0C0"/>
              <w:right w:val="single" w:sz="4" w:space="0" w:color="000080"/>
            </w:tcBorders>
            <w:shd w:val="clear" w:color="auto" w:fill="auto"/>
            <w:vAlign w:val="center"/>
            <w:hideMark/>
          </w:tcPr>
          <w:p w14:paraId="2511A1D5" w14:textId="77777777" w:rsidR="00F774AD" w:rsidRPr="00F774AD" w:rsidRDefault="00F774AD" w:rsidP="00F774AD">
            <w:pPr>
              <w:rPr>
                <w:rFonts w:ascii="Arial" w:hAnsi="Arial" w:cs="Arial"/>
                <w:sz w:val="18"/>
                <w:szCs w:val="18"/>
              </w:rPr>
            </w:pPr>
            <w:r w:rsidRPr="00F774AD">
              <w:rPr>
                <w:rFonts w:ascii="Arial" w:hAnsi="Arial" w:cs="Arial"/>
                <w:sz w:val="18"/>
                <w:szCs w:val="18"/>
              </w:rPr>
              <w:t>Zajmovi - tuzemni (šifre 1321+1332+1333+1334+1341+1353+1354+1355+1363+1364+1371+1372+1373+1374+1375+1376+1377)</w:t>
            </w:r>
          </w:p>
        </w:tc>
        <w:tc>
          <w:tcPr>
            <w:tcW w:w="717" w:type="dxa"/>
            <w:tcBorders>
              <w:top w:val="nil"/>
              <w:left w:val="nil"/>
              <w:bottom w:val="single" w:sz="4" w:space="0" w:color="C0C0C0"/>
              <w:right w:val="single" w:sz="4" w:space="0" w:color="000080"/>
            </w:tcBorders>
            <w:shd w:val="clear" w:color="auto" w:fill="auto"/>
            <w:vAlign w:val="center"/>
            <w:hideMark/>
          </w:tcPr>
          <w:p w14:paraId="307A2C0A"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13X1</w:t>
            </w:r>
          </w:p>
        </w:tc>
        <w:tc>
          <w:tcPr>
            <w:tcW w:w="1481" w:type="dxa"/>
            <w:tcBorders>
              <w:top w:val="nil"/>
              <w:left w:val="nil"/>
              <w:bottom w:val="single" w:sz="4" w:space="0" w:color="C0C0C0"/>
              <w:right w:val="single" w:sz="4" w:space="0" w:color="000080"/>
            </w:tcBorders>
            <w:shd w:val="clear" w:color="auto" w:fill="auto"/>
            <w:noWrap/>
            <w:vAlign w:val="center"/>
            <w:hideMark/>
          </w:tcPr>
          <w:p w14:paraId="59F8564B"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147.621.866,19</w:t>
            </w:r>
          </w:p>
        </w:tc>
        <w:tc>
          <w:tcPr>
            <w:tcW w:w="1462" w:type="dxa"/>
            <w:tcBorders>
              <w:top w:val="nil"/>
              <w:left w:val="nil"/>
              <w:bottom w:val="single" w:sz="4" w:space="0" w:color="C0C0C0"/>
              <w:right w:val="single" w:sz="4" w:space="0" w:color="000080"/>
            </w:tcBorders>
            <w:shd w:val="clear" w:color="auto" w:fill="auto"/>
            <w:noWrap/>
            <w:vAlign w:val="center"/>
            <w:hideMark/>
          </w:tcPr>
          <w:p w14:paraId="27137335"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96.586.087,99</w:t>
            </w:r>
          </w:p>
        </w:tc>
        <w:tc>
          <w:tcPr>
            <w:tcW w:w="967" w:type="dxa"/>
            <w:tcBorders>
              <w:top w:val="nil"/>
              <w:left w:val="nil"/>
              <w:bottom w:val="single" w:sz="4" w:space="0" w:color="C0C0C0"/>
              <w:right w:val="single" w:sz="4" w:space="0" w:color="000000"/>
            </w:tcBorders>
            <w:shd w:val="clear" w:color="auto" w:fill="auto"/>
            <w:noWrap/>
            <w:vAlign w:val="center"/>
            <w:hideMark/>
          </w:tcPr>
          <w:p w14:paraId="30378AAD"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65,4</w:t>
            </w:r>
          </w:p>
        </w:tc>
      </w:tr>
      <w:tr w:rsidR="00F774AD" w:rsidRPr="00F774AD" w14:paraId="47067340"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15A7C6EE" w14:textId="77777777" w:rsidR="00F774AD" w:rsidRPr="00F774AD" w:rsidRDefault="00F774AD" w:rsidP="00F774AD">
            <w:pPr>
              <w:rPr>
                <w:rFonts w:ascii="Arial" w:hAnsi="Arial" w:cs="Arial"/>
                <w:sz w:val="18"/>
                <w:szCs w:val="18"/>
              </w:rPr>
            </w:pPr>
            <w:r w:rsidRPr="00F774AD">
              <w:rPr>
                <w:rFonts w:ascii="Arial" w:hAnsi="Arial" w:cs="Arial"/>
                <w:sz w:val="18"/>
                <w:szCs w:val="18"/>
              </w:rPr>
              <w:t>1341</w:t>
            </w:r>
          </w:p>
        </w:tc>
        <w:tc>
          <w:tcPr>
            <w:tcW w:w="8766" w:type="dxa"/>
            <w:tcBorders>
              <w:top w:val="nil"/>
              <w:left w:val="nil"/>
              <w:bottom w:val="single" w:sz="4" w:space="0" w:color="C0C0C0"/>
              <w:right w:val="single" w:sz="4" w:space="0" w:color="000080"/>
            </w:tcBorders>
            <w:shd w:val="clear" w:color="auto" w:fill="auto"/>
            <w:vAlign w:val="center"/>
            <w:hideMark/>
          </w:tcPr>
          <w:p w14:paraId="60875719" w14:textId="77777777" w:rsidR="00F774AD" w:rsidRPr="00F774AD" w:rsidRDefault="00F774AD" w:rsidP="00F774AD">
            <w:pPr>
              <w:rPr>
                <w:rFonts w:ascii="Arial" w:hAnsi="Arial" w:cs="Arial"/>
                <w:sz w:val="18"/>
                <w:szCs w:val="18"/>
              </w:rPr>
            </w:pPr>
            <w:r w:rsidRPr="00F774AD">
              <w:rPr>
                <w:rFonts w:ascii="Arial" w:hAnsi="Arial" w:cs="Arial"/>
                <w:sz w:val="18"/>
                <w:szCs w:val="18"/>
              </w:rPr>
              <w:t>Zajmovi trgovačkim društvima u javnom sektoru</w:t>
            </w:r>
          </w:p>
        </w:tc>
        <w:tc>
          <w:tcPr>
            <w:tcW w:w="717" w:type="dxa"/>
            <w:tcBorders>
              <w:top w:val="nil"/>
              <w:left w:val="nil"/>
              <w:bottom w:val="single" w:sz="4" w:space="0" w:color="C0C0C0"/>
              <w:right w:val="single" w:sz="4" w:space="0" w:color="000080"/>
            </w:tcBorders>
            <w:shd w:val="clear" w:color="auto" w:fill="auto"/>
            <w:vAlign w:val="center"/>
            <w:hideMark/>
          </w:tcPr>
          <w:p w14:paraId="43255497"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1341</w:t>
            </w:r>
          </w:p>
        </w:tc>
        <w:tc>
          <w:tcPr>
            <w:tcW w:w="1481" w:type="dxa"/>
            <w:tcBorders>
              <w:top w:val="nil"/>
              <w:left w:val="nil"/>
              <w:bottom w:val="single" w:sz="4" w:space="0" w:color="C0C0C0"/>
              <w:right w:val="single" w:sz="4" w:space="0" w:color="000080"/>
            </w:tcBorders>
            <w:shd w:val="clear" w:color="auto" w:fill="auto"/>
            <w:noWrap/>
            <w:vAlign w:val="center"/>
            <w:hideMark/>
          </w:tcPr>
          <w:p w14:paraId="0A2AFE06"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93.437.348,19</w:t>
            </w:r>
          </w:p>
        </w:tc>
        <w:tc>
          <w:tcPr>
            <w:tcW w:w="1462" w:type="dxa"/>
            <w:tcBorders>
              <w:top w:val="nil"/>
              <w:left w:val="nil"/>
              <w:bottom w:val="single" w:sz="4" w:space="0" w:color="C0C0C0"/>
              <w:right w:val="single" w:sz="4" w:space="0" w:color="000080"/>
            </w:tcBorders>
            <w:shd w:val="clear" w:color="auto" w:fill="auto"/>
            <w:noWrap/>
            <w:vAlign w:val="center"/>
            <w:hideMark/>
          </w:tcPr>
          <w:p w14:paraId="2E5FE580"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42.401.569,99</w:t>
            </w:r>
          </w:p>
        </w:tc>
        <w:tc>
          <w:tcPr>
            <w:tcW w:w="967" w:type="dxa"/>
            <w:tcBorders>
              <w:top w:val="nil"/>
              <w:left w:val="nil"/>
              <w:bottom w:val="single" w:sz="4" w:space="0" w:color="C0C0C0"/>
              <w:right w:val="single" w:sz="4" w:space="0" w:color="000000"/>
            </w:tcBorders>
            <w:shd w:val="clear" w:color="auto" w:fill="auto"/>
            <w:noWrap/>
            <w:vAlign w:val="center"/>
            <w:hideMark/>
          </w:tcPr>
          <w:p w14:paraId="2FF4379E"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45,4</w:t>
            </w:r>
          </w:p>
        </w:tc>
      </w:tr>
      <w:tr w:rsidR="00F774AD" w:rsidRPr="00F774AD" w14:paraId="2AED0C21"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507E0C6D" w14:textId="77777777" w:rsidR="00F774AD" w:rsidRPr="00F774AD" w:rsidRDefault="00F774AD" w:rsidP="00F774AD">
            <w:pPr>
              <w:rPr>
                <w:rFonts w:ascii="Arial" w:hAnsi="Arial" w:cs="Arial"/>
                <w:sz w:val="18"/>
                <w:szCs w:val="18"/>
              </w:rPr>
            </w:pPr>
            <w:r w:rsidRPr="00F774AD">
              <w:rPr>
                <w:rFonts w:ascii="Arial" w:hAnsi="Arial" w:cs="Arial"/>
                <w:sz w:val="18"/>
                <w:szCs w:val="18"/>
              </w:rPr>
              <w:t>1363</w:t>
            </w:r>
          </w:p>
        </w:tc>
        <w:tc>
          <w:tcPr>
            <w:tcW w:w="8766" w:type="dxa"/>
            <w:tcBorders>
              <w:top w:val="nil"/>
              <w:left w:val="nil"/>
              <w:bottom w:val="single" w:sz="4" w:space="0" w:color="C0C0C0"/>
              <w:right w:val="single" w:sz="4" w:space="0" w:color="000080"/>
            </w:tcBorders>
            <w:shd w:val="clear" w:color="auto" w:fill="auto"/>
            <w:vAlign w:val="center"/>
            <w:hideMark/>
          </w:tcPr>
          <w:p w14:paraId="0EAF9C26" w14:textId="77777777" w:rsidR="00F774AD" w:rsidRPr="00F774AD" w:rsidRDefault="00F774AD" w:rsidP="00F774AD">
            <w:pPr>
              <w:rPr>
                <w:rFonts w:ascii="Arial" w:hAnsi="Arial" w:cs="Arial"/>
                <w:sz w:val="18"/>
                <w:szCs w:val="18"/>
              </w:rPr>
            </w:pPr>
            <w:r w:rsidRPr="00F774AD">
              <w:rPr>
                <w:rFonts w:ascii="Arial" w:hAnsi="Arial" w:cs="Arial"/>
                <w:sz w:val="18"/>
                <w:szCs w:val="18"/>
              </w:rPr>
              <w:t>Zajmovi tuzemnim trgovačkim društvima izvan javnog sektora</w:t>
            </w:r>
          </w:p>
        </w:tc>
        <w:tc>
          <w:tcPr>
            <w:tcW w:w="717" w:type="dxa"/>
            <w:tcBorders>
              <w:top w:val="nil"/>
              <w:left w:val="nil"/>
              <w:bottom w:val="single" w:sz="4" w:space="0" w:color="C0C0C0"/>
              <w:right w:val="single" w:sz="4" w:space="0" w:color="000080"/>
            </w:tcBorders>
            <w:shd w:val="clear" w:color="auto" w:fill="auto"/>
            <w:vAlign w:val="center"/>
            <w:hideMark/>
          </w:tcPr>
          <w:p w14:paraId="02061C86"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1363</w:t>
            </w:r>
          </w:p>
        </w:tc>
        <w:tc>
          <w:tcPr>
            <w:tcW w:w="1481" w:type="dxa"/>
            <w:tcBorders>
              <w:top w:val="nil"/>
              <w:left w:val="nil"/>
              <w:bottom w:val="single" w:sz="4" w:space="0" w:color="C0C0C0"/>
              <w:right w:val="single" w:sz="4" w:space="0" w:color="000080"/>
            </w:tcBorders>
            <w:shd w:val="clear" w:color="auto" w:fill="auto"/>
            <w:noWrap/>
            <w:vAlign w:val="center"/>
            <w:hideMark/>
          </w:tcPr>
          <w:p w14:paraId="3F80F56E"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54.184.518,00</w:t>
            </w:r>
          </w:p>
        </w:tc>
        <w:tc>
          <w:tcPr>
            <w:tcW w:w="1462" w:type="dxa"/>
            <w:tcBorders>
              <w:top w:val="nil"/>
              <w:left w:val="nil"/>
              <w:bottom w:val="single" w:sz="4" w:space="0" w:color="C0C0C0"/>
              <w:right w:val="single" w:sz="4" w:space="0" w:color="000080"/>
            </w:tcBorders>
            <w:shd w:val="clear" w:color="auto" w:fill="auto"/>
            <w:noWrap/>
            <w:vAlign w:val="center"/>
            <w:hideMark/>
          </w:tcPr>
          <w:p w14:paraId="51545202"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54.184.518,00</w:t>
            </w:r>
          </w:p>
        </w:tc>
        <w:tc>
          <w:tcPr>
            <w:tcW w:w="967" w:type="dxa"/>
            <w:tcBorders>
              <w:top w:val="nil"/>
              <w:left w:val="nil"/>
              <w:bottom w:val="single" w:sz="4" w:space="0" w:color="C0C0C0"/>
              <w:right w:val="single" w:sz="4" w:space="0" w:color="000000"/>
            </w:tcBorders>
            <w:shd w:val="clear" w:color="auto" w:fill="auto"/>
            <w:noWrap/>
            <w:vAlign w:val="center"/>
            <w:hideMark/>
          </w:tcPr>
          <w:p w14:paraId="2ADAE76D"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100,0</w:t>
            </w:r>
          </w:p>
        </w:tc>
      </w:tr>
      <w:tr w:rsidR="00F774AD" w:rsidRPr="00F774AD" w14:paraId="1F77ED76"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491D8466" w14:textId="77777777" w:rsidR="00F774AD" w:rsidRPr="00F774AD" w:rsidRDefault="00F774AD" w:rsidP="00F774AD">
            <w:pPr>
              <w:rPr>
                <w:rFonts w:ascii="Arial" w:hAnsi="Arial" w:cs="Arial"/>
                <w:sz w:val="18"/>
                <w:szCs w:val="18"/>
              </w:rPr>
            </w:pPr>
            <w:r w:rsidRPr="00F774AD">
              <w:rPr>
                <w:rFonts w:ascii="Arial" w:hAnsi="Arial" w:cs="Arial"/>
                <w:sz w:val="18"/>
                <w:szCs w:val="18"/>
              </w:rPr>
              <w:t>15</w:t>
            </w:r>
          </w:p>
        </w:tc>
        <w:tc>
          <w:tcPr>
            <w:tcW w:w="8766" w:type="dxa"/>
            <w:tcBorders>
              <w:top w:val="nil"/>
              <w:left w:val="nil"/>
              <w:bottom w:val="single" w:sz="4" w:space="0" w:color="C0C0C0"/>
              <w:right w:val="single" w:sz="4" w:space="0" w:color="000080"/>
            </w:tcBorders>
            <w:shd w:val="clear" w:color="auto" w:fill="auto"/>
            <w:vAlign w:val="center"/>
            <w:hideMark/>
          </w:tcPr>
          <w:p w14:paraId="0C6D0F54" w14:textId="77777777" w:rsidR="00F774AD" w:rsidRPr="00F774AD" w:rsidRDefault="00F774AD" w:rsidP="00F774AD">
            <w:pPr>
              <w:rPr>
                <w:rFonts w:ascii="Arial" w:hAnsi="Arial" w:cs="Arial"/>
                <w:sz w:val="18"/>
                <w:szCs w:val="18"/>
              </w:rPr>
            </w:pPr>
            <w:r w:rsidRPr="00F774AD">
              <w:rPr>
                <w:rFonts w:ascii="Arial" w:hAnsi="Arial" w:cs="Arial"/>
                <w:sz w:val="18"/>
                <w:szCs w:val="18"/>
              </w:rPr>
              <w:t>Financijski instrumenti - dionice i udjeli u glavnici (šifre 15X1+15X2-159)</w:t>
            </w:r>
          </w:p>
        </w:tc>
        <w:tc>
          <w:tcPr>
            <w:tcW w:w="717" w:type="dxa"/>
            <w:tcBorders>
              <w:top w:val="nil"/>
              <w:left w:val="nil"/>
              <w:bottom w:val="single" w:sz="4" w:space="0" w:color="C0C0C0"/>
              <w:right w:val="single" w:sz="4" w:space="0" w:color="000080"/>
            </w:tcBorders>
            <w:shd w:val="clear" w:color="auto" w:fill="auto"/>
            <w:vAlign w:val="center"/>
            <w:hideMark/>
          </w:tcPr>
          <w:p w14:paraId="4EF1CDED"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15</w:t>
            </w:r>
          </w:p>
        </w:tc>
        <w:tc>
          <w:tcPr>
            <w:tcW w:w="1481" w:type="dxa"/>
            <w:tcBorders>
              <w:top w:val="nil"/>
              <w:left w:val="nil"/>
              <w:bottom w:val="single" w:sz="4" w:space="0" w:color="C0C0C0"/>
              <w:right w:val="single" w:sz="4" w:space="0" w:color="000080"/>
            </w:tcBorders>
            <w:shd w:val="clear" w:color="auto" w:fill="auto"/>
            <w:noWrap/>
            <w:vAlign w:val="center"/>
            <w:hideMark/>
          </w:tcPr>
          <w:p w14:paraId="2D75D0B8"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39.285.951,29</w:t>
            </w:r>
          </w:p>
        </w:tc>
        <w:tc>
          <w:tcPr>
            <w:tcW w:w="1462" w:type="dxa"/>
            <w:tcBorders>
              <w:top w:val="nil"/>
              <w:left w:val="nil"/>
              <w:bottom w:val="single" w:sz="4" w:space="0" w:color="C0C0C0"/>
              <w:right w:val="single" w:sz="4" w:space="0" w:color="000080"/>
            </w:tcBorders>
            <w:shd w:val="clear" w:color="auto" w:fill="auto"/>
            <w:noWrap/>
            <w:vAlign w:val="center"/>
            <w:hideMark/>
          </w:tcPr>
          <w:p w14:paraId="1BD4F199"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39.287.601,29</w:t>
            </w:r>
          </w:p>
        </w:tc>
        <w:tc>
          <w:tcPr>
            <w:tcW w:w="967" w:type="dxa"/>
            <w:tcBorders>
              <w:top w:val="nil"/>
              <w:left w:val="nil"/>
              <w:bottom w:val="single" w:sz="4" w:space="0" w:color="C0C0C0"/>
              <w:right w:val="single" w:sz="4" w:space="0" w:color="000000"/>
            </w:tcBorders>
            <w:shd w:val="clear" w:color="auto" w:fill="auto"/>
            <w:noWrap/>
            <w:vAlign w:val="center"/>
            <w:hideMark/>
          </w:tcPr>
          <w:p w14:paraId="53452A63"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100,0</w:t>
            </w:r>
          </w:p>
        </w:tc>
      </w:tr>
      <w:tr w:rsidR="00F774AD" w:rsidRPr="00F774AD" w14:paraId="55D867C3" w14:textId="77777777" w:rsidTr="00F774AD">
        <w:trPr>
          <w:trHeight w:val="480"/>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56DD8502" w14:textId="77777777" w:rsidR="00F774AD" w:rsidRPr="00F774AD" w:rsidRDefault="00F774AD" w:rsidP="00F774AD">
            <w:pPr>
              <w:rPr>
                <w:rFonts w:ascii="Arial" w:hAnsi="Arial" w:cs="Arial"/>
                <w:sz w:val="18"/>
                <w:szCs w:val="18"/>
              </w:rPr>
            </w:pPr>
            <w:r w:rsidRPr="00F774AD">
              <w:rPr>
                <w:rFonts w:ascii="Arial" w:hAnsi="Arial" w:cs="Arial"/>
                <w:sz w:val="18"/>
                <w:szCs w:val="18"/>
              </w:rPr>
              <w:t> </w:t>
            </w:r>
          </w:p>
        </w:tc>
        <w:tc>
          <w:tcPr>
            <w:tcW w:w="8766" w:type="dxa"/>
            <w:tcBorders>
              <w:top w:val="nil"/>
              <w:left w:val="nil"/>
              <w:bottom w:val="single" w:sz="4" w:space="0" w:color="C0C0C0"/>
              <w:right w:val="single" w:sz="4" w:space="0" w:color="000080"/>
            </w:tcBorders>
            <w:shd w:val="clear" w:color="auto" w:fill="auto"/>
            <w:vAlign w:val="center"/>
            <w:hideMark/>
          </w:tcPr>
          <w:p w14:paraId="0B447FF6" w14:textId="77777777" w:rsidR="00F774AD" w:rsidRPr="00F774AD" w:rsidRDefault="00F774AD" w:rsidP="00F774AD">
            <w:pPr>
              <w:rPr>
                <w:rFonts w:ascii="Arial" w:hAnsi="Arial" w:cs="Arial"/>
                <w:sz w:val="18"/>
                <w:szCs w:val="18"/>
              </w:rPr>
            </w:pPr>
            <w:r w:rsidRPr="00F774AD">
              <w:rPr>
                <w:rFonts w:ascii="Arial" w:hAnsi="Arial" w:cs="Arial"/>
                <w:sz w:val="18"/>
                <w:szCs w:val="18"/>
              </w:rPr>
              <w:t>Dionice i udjeli u glavnici - tuzemni (šifre 1512+1513+1514+1521+1531+1541)</w:t>
            </w:r>
          </w:p>
        </w:tc>
        <w:tc>
          <w:tcPr>
            <w:tcW w:w="717" w:type="dxa"/>
            <w:tcBorders>
              <w:top w:val="nil"/>
              <w:left w:val="nil"/>
              <w:bottom w:val="single" w:sz="4" w:space="0" w:color="C0C0C0"/>
              <w:right w:val="single" w:sz="4" w:space="0" w:color="000080"/>
            </w:tcBorders>
            <w:shd w:val="clear" w:color="auto" w:fill="auto"/>
            <w:vAlign w:val="center"/>
            <w:hideMark/>
          </w:tcPr>
          <w:p w14:paraId="5DEDB8DD"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15X1</w:t>
            </w:r>
          </w:p>
        </w:tc>
        <w:tc>
          <w:tcPr>
            <w:tcW w:w="1481" w:type="dxa"/>
            <w:tcBorders>
              <w:top w:val="nil"/>
              <w:left w:val="nil"/>
              <w:bottom w:val="single" w:sz="4" w:space="0" w:color="C0C0C0"/>
              <w:right w:val="single" w:sz="4" w:space="0" w:color="000080"/>
            </w:tcBorders>
            <w:shd w:val="clear" w:color="auto" w:fill="auto"/>
            <w:noWrap/>
            <w:vAlign w:val="center"/>
            <w:hideMark/>
          </w:tcPr>
          <w:p w14:paraId="03D9CE7B"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39.285.951,29</w:t>
            </w:r>
          </w:p>
        </w:tc>
        <w:tc>
          <w:tcPr>
            <w:tcW w:w="1462" w:type="dxa"/>
            <w:tcBorders>
              <w:top w:val="nil"/>
              <w:left w:val="nil"/>
              <w:bottom w:val="single" w:sz="4" w:space="0" w:color="C0C0C0"/>
              <w:right w:val="single" w:sz="4" w:space="0" w:color="000080"/>
            </w:tcBorders>
            <w:shd w:val="clear" w:color="auto" w:fill="auto"/>
            <w:noWrap/>
            <w:vAlign w:val="center"/>
            <w:hideMark/>
          </w:tcPr>
          <w:p w14:paraId="55D2F024"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39.287.601,29</w:t>
            </w:r>
          </w:p>
        </w:tc>
        <w:tc>
          <w:tcPr>
            <w:tcW w:w="967" w:type="dxa"/>
            <w:tcBorders>
              <w:top w:val="nil"/>
              <w:left w:val="nil"/>
              <w:bottom w:val="single" w:sz="4" w:space="0" w:color="C0C0C0"/>
              <w:right w:val="single" w:sz="4" w:space="0" w:color="000000"/>
            </w:tcBorders>
            <w:shd w:val="clear" w:color="auto" w:fill="auto"/>
            <w:noWrap/>
            <w:vAlign w:val="center"/>
            <w:hideMark/>
          </w:tcPr>
          <w:p w14:paraId="18537C68"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100,0</w:t>
            </w:r>
          </w:p>
        </w:tc>
      </w:tr>
      <w:tr w:rsidR="00F774AD" w:rsidRPr="00F774AD" w14:paraId="6B36134E"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00657965" w14:textId="77777777" w:rsidR="00F774AD" w:rsidRPr="00F774AD" w:rsidRDefault="00F774AD" w:rsidP="00F774AD">
            <w:pPr>
              <w:rPr>
                <w:rFonts w:ascii="Arial" w:hAnsi="Arial" w:cs="Arial"/>
                <w:sz w:val="18"/>
                <w:szCs w:val="18"/>
              </w:rPr>
            </w:pPr>
            <w:r w:rsidRPr="00F774AD">
              <w:rPr>
                <w:rFonts w:ascii="Arial" w:hAnsi="Arial" w:cs="Arial"/>
                <w:sz w:val="18"/>
                <w:szCs w:val="18"/>
              </w:rPr>
              <w:lastRenderedPageBreak/>
              <w:t>1521</w:t>
            </w:r>
          </w:p>
        </w:tc>
        <w:tc>
          <w:tcPr>
            <w:tcW w:w="8766" w:type="dxa"/>
            <w:tcBorders>
              <w:top w:val="nil"/>
              <w:left w:val="nil"/>
              <w:bottom w:val="single" w:sz="4" w:space="0" w:color="C0C0C0"/>
              <w:right w:val="single" w:sz="4" w:space="0" w:color="000080"/>
            </w:tcBorders>
            <w:shd w:val="clear" w:color="auto" w:fill="auto"/>
            <w:vAlign w:val="center"/>
            <w:hideMark/>
          </w:tcPr>
          <w:p w14:paraId="4FEEC420" w14:textId="77777777" w:rsidR="00F774AD" w:rsidRPr="00F774AD" w:rsidRDefault="00F774AD" w:rsidP="00F774AD">
            <w:pPr>
              <w:rPr>
                <w:rFonts w:ascii="Arial" w:hAnsi="Arial" w:cs="Arial"/>
                <w:sz w:val="18"/>
                <w:szCs w:val="18"/>
              </w:rPr>
            </w:pPr>
            <w:r w:rsidRPr="00F774AD">
              <w:rPr>
                <w:rFonts w:ascii="Arial" w:hAnsi="Arial" w:cs="Arial"/>
                <w:sz w:val="18"/>
                <w:szCs w:val="18"/>
              </w:rPr>
              <w:t>Dionice i udjeli u glavnici trgovačkih društava u javnom sektoru</w:t>
            </w:r>
          </w:p>
        </w:tc>
        <w:tc>
          <w:tcPr>
            <w:tcW w:w="717" w:type="dxa"/>
            <w:tcBorders>
              <w:top w:val="nil"/>
              <w:left w:val="nil"/>
              <w:bottom w:val="single" w:sz="4" w:space="0" w:color="C0C0C0"/>
              <w:right w:val="single" w:sz="4" w:space="0" w:color="000080"/>
            </w:tcBorders>
            <w:shd w:val="clear" w:color="auto" w:fill="auto"/>
            <w:vAlign w:val="center"/>
            <w:hideMark/>
          </w:tcPr>
          <w:p w14:paraId="15E6D9F4"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1521</w:t>
            </w:r>
          </w:p>
        </w:tc>
        <w:tc>
          <w:tcPr>
            <w:tcW w:w="1481" w:type="dxa"/>
            <w:tcBorders>
              <w:top w:val="nil"/>
              <w:left w:val="nil"/>
              <w:bottom w:val="single" w:sz="4" w:space="0" w:color="C0C0C0"/>
              <w:right w:val="single" w:sz="4" w:space="0" w:color="000080"/>
            </w:tcBorders>
            <w:shd w:val="clear" w:color="auto" w:fill="auto"/>
            <w:noWrap/>
            <w:vAlign w:val="center"/>
            <w:hideMark/>
          </w:tcPr>
          <w:p w14:paraId="544416F1"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39.285.951,29</w:t>
            </w:r>
          </w:p>
        </w:tc>
        <w:tc>
          <w:tcPr>
            <w:tcW w:w="1462" w:type="dxa"/>
            <w:tcBorders>
              <w:top w:val="nil"/>
              <w:left w:val="nil"/>
              <w:bottom w:val="single" w:sz="4" w:space="0" w:color="C0C0C0"/>
              <w:right w:val="single" w:sz="4" w:space="0" w:color="000080"/>
            </w:tcBorders>
            <w:shd w:val="clear" w:color="auto" w:fill="auto"/>
            <w:noWrap/>
            <w:vAlign w:val="center"/>
            <w:hideMark/>
          </w:tcPr>
          <w:p w14:paraId="53310952"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39.287.601,29</w:t>
            </w:r>
          </w:p>
        </w:tc>
        <w:tc>
          <w:tcPr>
            <w:tcW w:w="967" w:type="dxa"/>
            <w:tcBorders>
              <w:top w:val="nil"/>
              <w:left w:val="nil"/>
              <w:bottom w:val="single" w:sz="4" w:space="0" w:color="C0C0C0"/>
              <w:right w:val="single" w:sz="4" w:space="0" w:color="000000"/>
            </w:tcBorders>
            <w:shd w:val="clear" w:color="auto" w:fill="auto"/>
            <w:noWrap/>
            <w:vAlign w:val="center"/>
            <w:hideMark/>
          </w:tcPr>
          <w:p w14:paraId="1B3F6C9A"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100,0</w:t>
            </w:r>
          </w:p>
        </w:tc>
      </w:tr>
      <w:tr w:rsidR="00F774AD" w:rsidRPr="00F774AD" w14:paraId="6843DEF1"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46DCDD8C" w14:textId="77777777" w:rsidR="00F774AD" w:rsidRPr="00F774AD" w:rsidRDefault="00F774AD" w:rsidP="00F774AD">
            <w:pPr>
              <w:rPr>
                <w:rFonts w:ascii="Arial" w:hAnsi="Arial" w:cs="Arial"/>
                <w:sz w:val="18"/>
                <w:szCs w:val="18"/>
              </w:rPr>
            </w:pPr>
            <w:r w:rsidRPr="00F774AD">
              <w:rPr>
                <w:rFonts w:ascii="Arial" w:hAnsi="Arial" w:cs="Arial"/>
                <w:sz w:val="18"/>
                <w:szCs w:val="18"/>
              </w:rPr>
              <w:t>16</w:t>
            </w:r>
          </w:p>
        </w:tc>
        <w:tc>
          <w:tcPr>
            <w:tcW w:w="8766" w:type="dxa"/>
            <w:tcBorders>
              <w:top w:val="nil"/>
              <w:left w:val="nil"/>
              <w:bottom w:val="single" w:sz="4" w:space="0" w:color="C0C0C0"/>
              <w:right w:val="single" w:sz="4" w:space="0" w:color="000080"/>
            </w:tcBorders>
            <w:shd w:val="clear" w:color="auto" w:fill="auto"/>
            <w:vAlign w:val="center"/>
            <w:hideMark/>
          </w:tcPr>
          <w:p w14:paraId="222C1F20" w14:textId="77777777" w:rsidR="00F774AD" w:rsidRPr="00F774AD" w:rsidRDefault="00F774AD" w:rsidP="00F774AD">
            <w:pPr>
              <w:rPr>
                <w:rFonts w:ascii="Arial" w:hAnsi="Arial" w:cs="Arial"/>
                <w:sz w:val="18"/>
                <w:szCs w:val="18"/>
              </w:rPr>
            </w:pPr>
            <w:r w:rsidRPr="00F774AD">
              <w:rPr>
                <w:rFonts w:ascii="Arial" w:hAnsi="Arial" w:cs="Arial"/>
                <w:sz w:val="18"/>
                <w:szCs w:val="18"/>
              </w:rPr>
              <w:t>Potraživanja za prihode poslovanja (šifre 161 do 163 + 164 do 168-169)</w:t>
            </w:r>
          </w:p>
        </w:tc>
        <w:tc>
          <w:tcPr>
            <w:tcW w:w="717" w:type="dxa"/>
            <w:tcBorders>
              <w:top w:val="nil"/>
              <w:left w:val="nil"/>
              <w:bottom w:val="single" w:sz="4" w:space="0" w:color="C0C0C0"/>
              <w:right w:val="single" w:sz="4" w:space="0" w:color="000080"/>
            </w:tcBorders>
            <w:shd w:val="clear" w:color="auto" w:fill="auto"/>
            <w:vAlign w:val="center"/>
            <w:hideMark/>
          </w:tcPr>
          <w:p w14:paraId="11B2CB3F"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16</w:t>
            </w:r>
          </w:p>
        </w:tc>
        <w:tc>
          <w:tcPr>
            <w:tcW w:w="1481" w:type="dxa"/>
            <w:tcBorders>
              <w:top w:val="nil"/>
              <w:left w:val="nil"/>
              <w:bottom w:val="single" w:sz="4" w:space="0" w:color="C0C0C0"/>
              <w:right w:val="single" w:sz="4" w:space="0" w:color="000080"/>
            </w:tcBorders>
            <w:shd w:val="clear" w:color="auto" w:fill="auto"/>
            <w:noWrap/>
            <w:vAlign w:val="center"/>
            <w:hideMark/>
          </w:tcPr>
          <w:p w14:paraId="132BE158"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60.502.773,54</w:t>
            </w:r>
          </w:p>
        </w:tc>
        <w:tc>
          <w:tcPr>
            <w:tcW w:w="1462" w:type="dxa"/>
            <w:tcBorders>
              <w:top w:val="nil"/>
              <w:left w:val="nil"/>
              <w:bottom w:val="single" w:sz="4" w:space="0" w:color="C0C0C0"/>
              <w:right w:val="single" w:sz="4" w:space="0" w:color="000080"/>
            </w:tcBorders>
            <w:shd w:val="clear" w:color="auto" w:fill="auto"/>
            <w:noWrap/>
            <w:vAlign w:val="center"/>
            <w:hideMark/>
          </w:tcPr>
          <w:p w14:paraId="15709BF4"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124.690.576,52</w:t>
            </w:r>
          </w:p>
        </w:tc>
        <w:tc>
          <w:tcPr>
            <w:tcW w:w="967" w:type="dxa"/>
            <w:tcBorders>
              <w:top w:val="nil"/>
              <w:left w:val="nil"/>
              <w:bottom w:val="single" w:sz="4" w:space="0" w:color="C0C0C0"/>
              <w:right w:val="single" w:sz="4" w:space="0" w:color="000000"/>
            </w:tcBorders>
            <w:shd w:val="clear" w:color="auto" w:fill="auto"/>
            <w:noWrap/>
            <w:vAlign w:val="center"/>
            <w:hideMark/>
          </w:tcPr>
          <w:p w14:paraId="1C1B8ED9"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206,1</w:t>
            </w:r>
          </w:p>
        </w:tc>
      </w:tr>
      <w:tr w:rsidR="00F774AD" w:rsidRPr="00F774AD" w14:paraId="0BE22693" w14:textId="77777777" w:rsidTr="00F774AD">
        <w:trPr>
          <w:trHeight w:val="480"/>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44466255" w14:textId="77777777" w:rsidR="00F774AD" w:rsidRPr="00F774AD" w:rsidRDefault="00F774AD" w:rsidP="00F774AD">
            <w:pPr>
              <w:rPr>
                <w:rFonts w:ascii="Arial" w:hAnsi="Arial" w:cs="Arial"/>
                <w:sz w:val="18"/>
                <w:szCs w:val="18"/>
              </w:rPr>
            </w:pPr>
            <w:r w:rsidRPr="00F774AD">
              <w:rPr>
                <w:rFonts w:ascii="Arial" w:hAnsi="Arial" w:cs="Arial"/>
                <w:sz w:val="18"/>
                <w:szCs w:val="18"/>
              </w:rPr>
              <w:t>163</w:t>
            </w:r>
          </w:p>
        </w:tc>
        <w:tc>
          <w:tcPr>
            <w:tcW w:w="8766" w:type="dxa"/>
            <w:tcBorders>
              <w:top w:val="nil"/>
              <w:left w:val="nil"/>
              <w:bottom w:val="single" w:sz="4" w:space="0" w:color="C0C0C0"/>
              <w:right w:val="single" w:sz="4" w:space="0" w:color="000080"/>
            </w:tcBorders>
            <w:shd w:val="clear" w:color="auto" w:fill="auto"/>
            <w:vAlign w:val="center"/>
            <w:hideMark/>
          </w:tcPr>
          <w:p w14:paraId="5B373224" w14:textId="77777777" w:rsidR="00F774AD" w:rsidRPr="00F774AD" w:rsidRDefault="00F774AD" w:rsidP="00F774AD">
            <w:pPr>
              <w:rPr>
                <w:rFonts w:ascii="Arial" w:hAnsi="Arial" w:cs="Arial"/>
                <w:sz w:val="18"/>
                <w:szCs w:val="18"/>
              </w:rPr>
            </w:pPr>
            <w:r w:rsidRPr="00F774AD">
              <w:rPr>
                <w:rFonts w:ascii="Arial" w:hAnsi="Arial" w:cs="Arial"/>
                <w:sz w:val="18"/>
                <w:szCs w:val="18"/>
              </w:rPr>
              <w:t>Potraživanja za pomoći iz inozemstva i od subjekata unutar općeg proračuna (šifre 1631 do 1638)</w:t>
            </w:r>
          </w:p>
        </w:tc>
        <w:tc>
          <w:tcPr>
            <w:tcW w:w="717" w:type="dxa"/>
            <w:tcBorders>
              <w:top w:val="nil"/>
              <w:left w:val="nil"/>
              <w:bottom w:val="single" w:sz="4" w:space="0" w:color="C0C0C0"/>
              <w:right w:val="single" w:sz="4" w:space="0" w:color="000080"/>
            </w:tcBorders>
            <w:shd w:val="clear" w:color="auto" w:fill="auto"/>
            <w:vAlign w:val="center"/>
            <w:hideMark/>
          </w:tcPr>
          <w:p w14:paraId="6F8B720E"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163</w:t>
            </w:r>
          </w:p>
        </w:tc>
        <w:tc>
          <w:tcPr>
            <w:tcW w:w="1481" w:type="dxa"/>
            <w:tcBorders>
              <w:top w:val="nil"/>
              <w:left w:val="nil"/>
              <w:bottom w:val="single" w:sz="4" w:space="0" w:color="C0C0C0"/>
              <w:right w:val="single" w:sz="4" w:space="0" w:color="000080"/>
            </w:tcBorders>
            <w:shd w:val="clear" w:color="auto" w:fill="auto"/>
            <w:noWrap/>
            <w:vAlign w:val="center"/>
            <w:hideMark/>
          </w:tcPr>
          <w:p w14:paraId="53A38144"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537.803,90</w:t>
            </w:r>
          </w:p>
        </w:tc>
        <w:tc>
          <w:tcPr>
            <w:tcW w:w="1462" w:type="dxa"/>
            <w:tcBorders>
              <w:top w:val="nil"/>
              <w:left w:val="nil"/>
              <w:bottom w:val="single" w:sz="4" w:space="0" w:color="C0C0C0"/>
              <w:right w:val="single" w:sz="4" w:space="0" w:color="000080"/>
            </w:tcBorders>
            <w:shd w:val="clear" w:color="auto" w:fill="auto"/>
            <w:noWrap/>
            <w:vAlign w:val="center"/>
            <w:hideMark/>
          </w:tcPr>
          <w:p w14:paraId="42A2E30C"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530.073,96</w:t>
            </w:r>
          </w:p>
        </w:tc>
        <w:tc>
          <w:tcPr>
            <w:tcW w:w="967" w:type="dxa"/>
            <w:tcBorders>
              <w:top w:val="nil"/>
              <w:left w:val="nil"/>
              <w:bottom w:val="single" w:sz="4" w:space="0" w:color="C0C0C0"/>
              <w:right w:val="single" w:sz="4" w:space="0" w:color="000000"/>
            </w:tcBorders>
            <w:shd w:val="clear" w:color="auto" w:fill="auto"/>
            <w:noWrap/>
            <w:vAlign w:val="center"/>
            <w:hideMark/>
          </w:tcPr>
          <w:p w14:paraId="7DED18ED"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98,6</w:t>
            </w:r>
          </w:p>
        </w:tc>
      </w:tr>
      <w:tr w:rsidR="00F774AD" w:rsidRPr="00F774AD" w14:paraId="1BC3A2AD"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45CC0467" w14:textId="77777777" w:rsidR="00F774AD" w:rsidRPr="00F774AD" w:rsidRDefault="00F774AD" w:rsidP="00F774AD">
            <w:pPr>
              <w:rPr>
                <w:rFonts w:ascii="Arial" w:hAnsi="Arial" w:cs="Arial"/>
                <w:sz w:val="18"/>
                <w:szCs w:val="18"/>
              </w:rPr>
            </w:pPr>
            <w:r w:rsidRPr="00F774AD">
              <w:rPr>
                <w:rFonts w:ascii="Arial" w:hAnsi="Arial" w:cs="Arial"/>
                <w:sz w:val="18"/>
                <w:szCs w:val="18"/>
              </w:rPr>
              <w:t>1632</w:t>
            </w:r>
          </w:p>
        </w:tc>
        <w:tc>
          <w:tcPr>
            <w:tcW w:w="8766" w:type="dxa"/>
            <w:tcBorders>
              <w:top w:val="nil"/>
              <w:left w:val="nil"/>
              <w:bottom w:val="single" w:sz="4" w:space="0" w:color="C0C0C0"/>
              <w:right w:val="single" w:sz="4" w:space="0" w:color="000080"/>
            </w:tcBorders>
            <w:shd w:val="clear" w:color="auto" w:fill="auto"/>
            <w:vAlign w:val="center"/>
            <w:hideMark/>
          </w:tcPr>
          <w:p w14:paraId="3ED1C234" w14:textId="77777777" w:rsidR="00F774AD" w:rsidRPr="00F774AD" w:rsidRDefault="00F774AD" w:rsidP="00F774AD">
            <w:pPr>
              <w:rPr>
                <w:rFonts w:ascii="Arial" w:hAnsi="Arial" w:cs="Arial"/>
                <w:sz w:val="18"/>
                <w:szCs w:val="18"/>
              </w:rPr>
            </w:pPr>
            <w:r w:rsidRPr="00F774AD">
              <w:rPr>
                <w:rFonts w:ascii="Arial" w:hAnsi="Arial" w:cs="Arial"/>
                <w:sz w:val="18"/>
                <w:szCs w:val="18"/>
              </w:rPr>
              <w:t>Potraživanja za pomoći od međunarodnih organizacija te institucija i tijela EU</w:t>
            </w:r>
          </w:p>
        </w:tc>
        <w:tc>
          <w:tcPr>
            <w:tcW w:w="717" w:type="dxa"/>
            <w:tcBorders>
              <w:top w:val="nil"/>
              <w:left w:val="nil"/>
              <w:bottom w:val="single" w:sz="4" w:space="0" w:color="C0C0C0"/>
              <w:right w:val="single" w:sz="4" w:space="0" w:color="000080"/>
            </w:tcBorders>
            <w:shd w:val="clear" w:color="auto" w:fill="auto"/>
            <w:vAlign w:val="center"/>
            <w:hideMark/>
          </w:tcPr>
          <w:p w14:paraId="1014161E"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1632</w:t>
            </w:r>
          </w:p>
        </w:tc>
        <w:tc>
          <w:tcPr>
            <w:tcW w:w="1481" w:type="dxa"/>
            <w:tcBorders>
              <w:top w:val="nil"/>
              <w:left w:val="nil"/>
              <w:bottom w:val="single" w:sz="4" w:space="0" w:color="C0C0C0"/>
              <w:right w:val="single" w:sz="4" w:space="0" w:color="000080"/>
            </w:tcBorders>
            <w:shd w:val="clear" w:color="auto" w:fill="auto"/>
            <w:noWrap/>
            <w:vAlign w:val="center"/>
            <w:hideMark/>
          </w:tcPr>
          <w:p w14:paraId="6DA12C7A"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537.803,90</w:t>
            </w:r>
          </w:p>
        </w:tc>
        <w:tc>
          <w:tcPr>
            <w:tcW w:w="1462" w:type="dxa"/>
            <w:tcBorders>
              <w:top w:val="nil"/>
              <w:left w:val="nil"/>
              <w:bottom w:val="single" w:sz="4" w:space="0" w:color="C0C0C0"/>
              <w:right w:val="single" w:sz="4" w:space="0" w:color="000080"/>
            </w:tcBorders>
            <w:shd w:val="clear" w:color="auto" w:fill="auto"/>
            <w:noWrap/>
            <w:vAlign w:val="center"/>
            <w:hideMark/>
          </w:tcPr>
          <w:p w14:paraId="5B342B45"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530.073,96</w:t>
            </w:r>
          </w:p>
        </w:tc>
        <w:tc>
          <w:tcPr>
            <w:tcW w:w="967" w:type="dxa"/>
            <w:tcBorders>
              <w:top w:val="nil"/>
              <w:left w:val="nil"/>
              <w:bottom w:val="single" w:sz="4" w:space="0" w:color="C0C0C0"/>
              <w:right w:val="single" w:sz="4" w:space="0" w:color="000000"/>
            </w:tcBorders>
            <w:shd w:val="clear" w:color="auto" w:fill="auto"/>
            <w:noWrap/>
            <w:vAlign w:val="center"/>
            <w:hideMark/>
          </w:tcPr>
          <w:p w14:paraId="7B6CE615"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98,6</w:t>
            </w:r>
          </w:p>
        </w:tc>
      </w:tr>
      <w:tr w:rsidR="00F774AD" w:rsidRPr="00F774AD" w14:paraId="5841677D"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751214BA" w14:textId="77777777" w:rsidR="00F774AD" w:rsidRPr="00F774AD" w:rsidRDefault="00F774AD" w:rsidP="00F774AD">
            <w:pPr>
              <w:rPr>
                <w:rFonts w:ascii="Arial" w:hAnsi="Arial" w:cs="Arial"/>
                <w:sz w:val="18"/>
                <w:szCs w:val="18"/>
              </w:rPr>
            </w:pPr>
            <w:r w:rsidRPr="00F774AD">
              <w:rPr>
                <w:rFonts w:ascii="Arial" w:hAnsi="Arial" w:cs="Arial"/>
                <w:sz w:val="18"/>
                <w:szCs w:val="18"/>
              </w:rPr>
              <w:t>164</w:t>
            </w:r>
          </w:p>
        </w:tc>
        <w:tc>
          <w:tcPr>
            <w:tcW w:w="8766" w:type="dxa"/>
            <w:tcBorders>
              <w:top w:val="nil"/>
              <w:left w:val="nil"/>
              <w:bottom w:val="single" w:sz="4" w:space="0" w:color="C0C0C0"/>
              <w:right w:val="single" w:sz="4" w:space="0" w:color="000080"/>
            </w:tcBorders>
            <w:shd w:val="clear" w:color="auto" w:fill="auto"/>
            <w:vAlign w:val="center"/>
            <w:hideMark/>
          </w:tcPr>
          <w:p w14:paraId="51B219CE" w14:textId="77777777" w:rsidR="00F774AD" w:rsidRPr="00F774AD" w:rsidRDefault="00F774AD" w:rsidP="00F774AD">
            <w:pPr>
              <w:rPr>
                <w:rFonts w:ascii="Arial" w:hAnsi="Arial" w:cs="Arial"/>
                <w:sz w:val="18"/>
                <w:szCs w:val="18"/>
              </w:rPr>
            </w:pPr>
            <w:r w:rsidRPr="00F774AD">
              <w:rPr>
                <w:rFonts w:ascii="Arial" w:hAnsi="Arial" w:cs="Arial"/>
                <w:sz w:val="18"/>
                <w:szCs w:val="18"/>
              </w:rPr>
              <w:t>Potraživanja za prihode od imovine</w:t>
            </w:r>
          </w:p>
        </w:tc>
        <w:tc>
          <w:tcPr>
            <w:tcW w:w="717" w:type="dxa"/>
            <w:tcBorders>
              <w:top w:val="nil"/>
              <w:left w:val="nil"/>
              <w:bottom w:val="single" w:sz="4" w:space="0" w:color="C0C0C0"/>
              <w:right w:val="single" w:sz="4" w:space="0" w:color="000080"/>
            </w:tcBorders>
            <w:shd w:val="clear" w:color="auto" w:fill="auto"/>
            <w:vAlign w:val="center"/>
            <w:hideMark/>
          </w:tcPr>
          <w:p w14:paraId="3894E5F4"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164</w:t>
            </w:r>
          </w:p>
        </w:tc>
        <w:tc>
          <w:tcPr>
            <w:tcW w:w="1481" w:type="dxa"/>
            <w:tcBorders>
              <w:top w:val="nil"/>
              <w:left w:val="nil"/>
              <w:bottom w:val="single" w:sz="4" w:space="0" w:color="C0C0C0"/>
              <w:right w:val="single" w:sz="4" w:space="0" w:color="000080"/>
            </w:tcBorders>
            <w:shd w:val="clear" w:color="auto" w:fill="auto"/>
            <w:noWrap/>
            <w:vAlign w:val="center"/>
            <w:hideMark/>
          </w:tcPr>
          <w:p w14:paraId="43468D9E"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37.923.375,10</w:t>
            </w:r>
          </w:p>
        </w:tc>
        <w:tc>
          <w:tcPr>
            <w:tcW w:w="1462" w:type="dxa"/>
            <w:tcBorders>
              <w:top w:val="nil"/>
              <w:left w:val="nil"/>
              <w:bottom w:val="single" w:sz="4" w:space="0" w:color="C0C0C0"/>
              <w:right w:val="single" w:sz="4" w:space="0" w:color="000080"/>
            </w:tcBorders>
            <w:shd w:val="clear" w:color="auto" w:fill="auto"/>
            <w:noWrap/>
            <w:vAlign w:val="center"/>
            <w:hideMark/>
          </w:tcPr>
          <w:p w14:paraId="04B3C749"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36.443.834,61</w:t>
            </w:r>
          </w:p>
        </w:tc>
        <w:tc>
          <w:tcPr>
            <w:tcW w:w="967" w:type="dxa"/>
            <w:tcBorders>
              <w:top w:val="nil"/>
              <w:left w:val="nil"/>
              <w:bottom w:val="single" w:sz="4" w:space="0" w:color="C0C0C0"/>
              <w:right w:val="single" w:sz="4" w:space="0" w:color="000000"/>
            </w:tcBorders>
            <w:shd w:val="clear" w:color="auto" w:fill="auto"/>
            <w:noWrap/>
            <w:vAlign w:val="center"/>
            <w:hideMark/>
          </w:tcPr>
          <w:p w14:paraId="7FF0E9AC"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96,1</w:t>
            </w:r>
          </w:p>
        </w:tc>
      </w:tr>
      <w:tr w:rsidR="00F774AD" w:rsidRPr="00F774AD" w14:paraId="5F303F4D" w14:textId="77777777" w:rsidTr="00F774AD">
        <w:trPr>
          <w:trHeight w:val="480"/>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602C17ED" w14:textId="77777777" w:rsidR="00F774AD" w:rsidRPr="00F774AD" w:rsidRDefault="00F774AD" w:rsidP="00F774AD">
            <w:pPr>
              <w:rPr>
                <w:rFonts w:ascii="Arial" w:hAnsi="Arial" w:cs="Arial"/>
                <w:sz w:val="18"/>
                <w:szCs w:val="18"/>
              </w:rPr>
            </w:pPr>
            <w:r w:rsidRPr="00F774AD">
              <w:rPr>
                <w:rFonts w:ascii="Arial" w:hAnsi="Arial" w:cs="Arial"/>
                <w:sz w:val="18"/>
                <w:szCs w:val="18"/>
              </w:rPr>
              <w:t>165</w:t>
            </w:r>
          </w:p>
        </w:tc>
        <w:tc>
          <w:tcPr>
            <w:tcW w:w="8766" w:type="dxa"/>
            <w:tcBorders>
              <w:top w:val="nil"/>
              <w:left w:val="nil"/>
              <w:bottom w:val="single" w:sz="4" w:space="0" w:color="C0C0C0"/>
              <w:right w:val="single" w:sz="4" w:space="0" w:color="000080"/>
            </w:tcBorders>
            <w:shd w:val="clear" w:color="auto" w:fill="auto"/>
            <w:vAlign w:val="center"/>
            <w:hideMark/>
          </w:tcPr>
          <w:p w14:paraId="169EC00F" w14:textId="77777777" w:rsidR="00F774AD" w:rsidRPr="00F774AD" w:rsidRDefault="00F774AD" w:rsidP="00F774AD">
            <w:pPr>
              <w:rPr>
                <w:rFonts w:ascii="Arial" w:hAnsi="Arial" w:cs="Arial"/>
                <w:sz w:val="18"/>
                <w:szCs w:val="18"/>
              </w:rPr>
            </w:pPr>
            <w:r w:rsidRPr="00F774AD">
              <w:rPr>
                <w:rFonts w:ascii="Arial" w:hAnsi="Arial" w:cs="Arial"/>
                <w:sz w:val="18"/>
                <w:szCs w:val="18"/>
              </w:rPr>
              <w:t>Potraživanja za upravne i administrativne pristojbe, pristojbe po posebnim propisima i naknade</w:t>
            </w:r>
          </w:p>
        </w:tc>
        <w:tc>
          <w:tcPr>
            <w:tcW w:w="717" w:type="dxa"/>
            <w:tcBorders>
              <w:top w:val="nil"/>
              <w:left w:val="nil"/>
              <w:bottom w:val="single" w:sz="4" w:space="0" w:color="C0C0C0"/>
              <w:right w:val="single" w:sz="4" w:space="0" w:color="000080"/>
            </w:tcBorders>
            <w:shd w:val="clear" w:color="auto" w:fill="auto"/>
            <w:vAlign w:val="center"/>
            <w:hideMark/>
          </w:tcPr>
          <w:p w14:paraId="633AB492"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165</w:t>
            </w:r>
          </w:p>
        </w:tc>
        <w:tc>
          <w:tcPr>
            <w:tcW w:w="1481" w:type="dxa"/>
            <w:tcBorders>
              <w:top w:val="nil"/>
              <w:left w:val="nil"/>
              <w:bottom w:val="single" w:sz="4" w:space="0" w:color="C0C0C0"/>
              <w:right w:val="single" w:sz="4" w:space="0" w:color="000080"/>
            </w:tcBorders>
            <w:shd w:val="clear" w:color="auto" w:fill="auto"/>
            <w:noWrap/>
            <w:vAlign w:val="center"/>
            <w:hideMark/>
          </w:tcPr>
          <w:p w14:paraId="5E2E3CEC"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2.148.219,83</w:t>
            </w:r>
          </w:p>
        </w:tc>
        <w:tc>
          <w:tcPr>
            <w:tcW w:w="1462" w:type="dxa"/>
            <w:tcBorders>
              <w:top w:val="nil"/>
              <w:left w:val="nil"/>
              <w:bottom w:val="single" w:sz="4" w:space="0" w:color="C0C0C0"/>
              <w:right w:val="single" w:sz="4" w:space="0" w:color="000080"/>
            </w:tcBorders>
            <w:shd w:val="clear" w:color="auto" w:fill="auto"/>
            <w:noWrap/>
            <w:vAlign w:val="center"/>
            <w:hideMark/>
          </w:tcPr>
          <w:p w14:paraId="2EE41B8D"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1.661.752,58</w:t>
            </w:r>
          </w:p>
        </w:tc>
        <w:tc>
          <w:tcPr>
            <w:tcW w:w="967" w:type="dxa"/>
            <w:tcBorders>
              <w:top w:val="nil"/>
              <w:left w:val="nil"/>
              <w:bottom w:val="single" w:sz="4" w:space="0" w:color="C0C0C0"/>
              <w:right w:val="single" w:sz="4" w:space="0" w:color="000000"/>
            </w:tcBorders>
            <w:shd w:val="clear" w:color="auto" w:fill="auto"/>
            <w:noWrap/>
            <w:vAlign w:val="center"/>
            <w:hideMark/>
          </w:tcPr>
          <w:p w14:paraId="0001C6B2"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77,4</w:t>
            </w:r>
          </w:p>
        </w:tc>
      </w:tr>
      <w:tr w:rsidR="00F774AD" w:rsidRPr="00F774AD" w14:paraId="1C5D075F" w14:textId="77777777" w:rsidTr="00F774AD">
        <w:trPr>
          <w:trHeight w:val="480"/>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58F9665B" w14:textId="77777777" w:rsidR="00F774AD" w:rsidRPr="00F774AD" w:rsidRDefault="00F774AD" w:rsidP="00F774AD">
            <w:pPr>
              <w:rPr>
                <w:rFonts w:ascii="Arial" w:hAnsi="Arial" w:cs="Arial"/>
                <w:sz w:val="18"/>
                <w:szCs w:val="18"/>
              </w:rPr>
            </w:pPr>
            <w:r w:rsidRPr="00F774AD">
              <w:rPr>
                <w:rFonts w:ascii="Arial" w:hAnsi="Arial" w:cs="Arial"/>
                <w:sz w:val="18"/>
                <w:szCs w:val="18"/>
              </w:rPr>
              <w:t>166</w:t>
            </w:r>
          </w:p>
        </w:tc>
        <w:tc>
          <w:tcPr>
            <w:tcW w:w="8766" w:type="dxa"/>
            <w:tcBorders>
              <w:top w:val="nil"/>
              <w:left w:val="nil"/>
              <w:bottom w:val="single" w:sz="4" w:space="0" w:color="C0C0C0"/>
              <w:right w:val="single" w:sz="4" w:space="0" w:color="000080"/>
            </w:tcBorders>
            <w:shd w:val="clear" w:color="auto" w:fill="auto"/>
            <w:vAlign w:val="center"/>
            <w:hideMark/>
          </w:tcPr>
          <w:p w14:paraId="72D8A2A6" w14:textId="77777777" w:rsidR="00F774AD" w:rsidRPr="00F774AD" w:rsidRDefault="00F774AD" w:rsidP="00F774AD">
            <w:pPr>
              <w:rPr>
                <w:rFonts w:ascii="Arial" w:hAnsi="Arial" w:cs="Arial"/>
                <w:sz w:val="18"/>
                <w:szCs w:val="18"/>
              </w:rPr>
            </w:pPr>
            <w:r w:rsidRPr="00F774AD">
              <w:rPr>
                <w:rFonts w:ascii="Arial" w:hAnsi="Arial" w:cs="Arial"/>
                <w:sz w:val="18"/>
                <w:szCs w:val="18"/>
              </w:rPr>
              <w:t>Potraživanja za prihode od prodaje proizvoda i robe te pruženih usluga i za povrat po protestiranim jamstvima</w:t>
            </w:r>
          </w:p>
        </w:tc>
        <w:tc>
          <w:tcPr>
            <w:tcW w:w="717" w:type="dxa"/>
            <w:tcBorders>
              <w:top w:val="nil"/>
              <w:left w:val="nil"/>
              <w:bottom w:val="single" w:sz="4" w:space="0" w:color="C0C0C0"/>
              <w:right w:val="single" w:sz="4" w:space="0" w:color="000080"/>
            </w:tcBorders>
            <w:shd w:val="clear" w:color="auto" w:fill="auto"/>
            <w:vAlign w:val="center"/>
            <w:hideMark/>
          </w:tcPr>
          <w:p w14:paraId="7BE4A23A"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166</w:t>
            </w:r>
          </w:p>
        </w:tc>
        <w:tc>
          <w:tcPr>
            <w:tcW w:w="1481" w:type="dxa"/>
            <w:tcBorders>
              <w:top w:val="nil"/>
              <w:left w:val="nil"/>
              <w:bottom w:val="single" w:sz="4" w:space="0" w:color="C0C0C0"/>
              <w:right w:val="single" w:sz="4" w:space="0" w:color="000080"/>
            </w:tcBorders>
            <w:shd w:val="clear" w:color="auto" w:fill="auto"/>
            <w:noWrap/>
            <w:vAlign w:val="center"/>
            <w:hideMark/>
          </w:tcPr>
          <w:p w14:paraId="0D3088E1"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895.513,10</w:t>
            </w:r>
          </w:p>
        </w:tc>
        <w:tc>
          <w:tcPr>
            <w:tcW w:w="1462" w:type="dxa"/>
            <w:tcBorders>
              <w:top w:val="nil"/>
              <w:left w:val="nil"/>
              <w:bottom w:val="single" w:sz="4" w:space="0" w:color="C0C0C0"/>
              <w:right w:val="single" w:sz="4" w:space="0" w:color="000080"/>
            </w:tcBorders>
            <w:shd w:val="clear" w:color="auto" w:fill="auto"/>
            <w:noWrap/>
            <w:vAlign w:val="center"/>
            <w:hideMark/>
          </w:tcPr>
          <w:p w14:paraId="19FFD251"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1.547.453,89</w:t>
            </w:r>
          </w:p>
        </w:tc>
        <w:tc>
          <w:tcPr>
            <w:tcW w:w="967" w:type="dxa"/>
            <w:tcBorders>
              <w:top w:val="nil"/>
              <w:left w:val="nil"/>
              <w:bottom w:val="single" w:sz="4" w:space="0" w:color="C0C0C0"/>
              <w:right w:val="single" w:sz="4" w:space="0" w:color="000000"/>
            </w:tcBorders>
            <w:shd w:val="clear" w:color="auto" w:fill="auto"/>
            <w:noWrap/>
            <w:vAlign w:val="center"/>
            <w:hideMark/>
          </w:tcPr>
          <w:p w14:paraId="06343835"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172,8</w:t>
            </w:r>
          </w:p>
        </w:tc>
      </w:tr>
      <w:tr w:rsidR="00F774AD" w:rsidRPr="00F774AD" w14:paraId="4106F2B8" w14:textId="77777777" w:rsidTr="00F774AD">
        <w:trPr>
          <w:trHeight w:val="480"/>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37F0913E" w14:textId="77777777" w:rsidR="00F774AD" w:rsidRPr="00F774AD" w:rsidRDefault="00F774AD" w:rsidP="00F774AD">
            <w:pPr>
              <w:rPr>
                <w:rFonts w:ascii="Arial" w:hAnsi="Arial" w:cs="Arial"/>
                <w:sz w:val="18"/>
                <w:szCs w:val="18"/>
              </w:rPr>
            </w:pPr>
            <w:r w:rsidRPr="00F774AD">
              <w:rPr>
                <w:rFonts w:ascii="Arial" w:hAnsi="Arial" w:cs="Arial"/>
                <w:sz w:val="18"/>
                <w:szCs w:val="18"/>
              </w:rPr>
              <w:t>167</w:t>
            </w:r>
          </w:p>
        </w:tc>
        <w:tc>
          <w:tcPr>
            <w:tcW w:w="8766" w:type="dxa"/>
            <w:tcBorders>
              <w:top w:val="nil"/>
              <w:left w:val="nil"/>
              <w:bottom w:val="single" w:sz="4" w:space="0" w:color="C0C0C0"/>
              <w:right w:val="single" w:sz="4" w:space="0" w:color="000080"/>
            </w:tcBorders>
            <w:shd w:val="clear" w:color="auto" w:fill="auto"/>
            <w:vAlign w:val="center"/>
            <w:hideMark/>
          </w:tcPr>
          <w:p w14:paraId="2300C72D" w14:textId="77777777" w:rsidR="00F774AD" w:rsidRPr="00F774AD" w:rsidRDefault="00F774AD" w:rsidP="00F774AD">
            <w:pPr>
              <w:rPr>
                <w:rFonts w:ascii="Arial" w:hAnsi="Arial" w:cs="Arial"/>
                <w:sz w:val="18"/>
                <w:szCs w:val="18"/>
              </w:rPr>
            </w:pPr>
            <w:r w:rsidRPr="00F774AD">
              <w:rPr>
                <w:rFonts w:ascii="Arial" w:hAnsi="Arial" w:cs="Arial"/>
                <w:sz w:val="18"/>
                <w:szCs w:val="18"/>
              </w:rPr>
              <w:t>Potraživanja proračunskih korisnika za sredstva uplaćena u nadležni proračun i za prihode od HZZO-a na temelju ugovornih obveza</w:t>
            </w:r>
          </w:p>
        </w:tc>
        <w:tc>
          <w:tcPr>
            <w:tcW w:w="717" w:type="dxa"/>
            <w:tcBorders>
              <w:top w:val="nil"/>
              <w:left w:val="nil"/>
              <w:bottom w:val="single" w:sz="4" w:space="0" w:color="C0C0C0"/>
              <w:right w:val="single" w:sz="4" w:space="0" w:color="000080"/>
            </w:tcBorders>
            <w:shd w:val="clear" w:color="auto" w:fill="auto"/>
            <w:vAlign w:val="center"/>
            <w:hideMark/>
          </w:tcPr>
          <w:p w14:paraId="6FE5C00B"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167</w:t>
            </w:r>
          </w:p>
        </w:tc>
        <w:tc>
          <w:tcPr>
            <w:tcW w:w="1481" w:type="dxa"/>
            <w:tcBorders>
              <w:top w:val="nil"/>
              <w:left w:val="nil"/>
              <w:bottom w:val="single" w:sz="4" w:space="0" w:color="C0C0C0"/>
              <w:right w:val="single" w:sz="4" w:space="0" w:color="000080"/>
            </w:tcBorders>
            <w:shd w:val="clear" w:color="auto" w:fill="auto"/>
            <w:noWrap/>
            <w:vAlign w:val="center"/>
            <w:hideMark/>
          </w:tcPr>
          <w:p w14:paraId="5C0556C3"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18.579.700,55</w:t>
            </w:r>
          </w:p>
        </w:tc>
        <w:tc>
          <w:tcPr>
            <w:tcW w:w="1462" w:type="dxa"/>
            <w:tcBorders>
              <w:top w:val="nil"/>
              <w:left w:val="nil"/>
              <w:bottom w:val="single" w:sz="4" w:space="0" w:color="C0C0C0"/>
              <w:right w:val="single" w:sz="4" w:space="0" w:color="000080"/>
            </w:tcBorders>
            <w:shd w:val="clear" w:color="auto" w:fill="auto"/>
            <w:noWrap/>
            <w:vAlign w:val="center"/>
            <w:hideMark/>
          </w:tcPr>
          <w:p w14:paraId="53DE5EEA"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11.920.304,22</w:t>
            </w:r>
          </w:p>
        </w:tc>
        <w:tc>
          <w:tcPr>
            <w:tcW w:w="967" w:type="dxa"/>
            <w:tcBorders>
              <w:top w:val="nil"/>
              <w:left w:val="nil"/>
              <w:bottom w:val="single" w:sz="4" w:space="0" w:color="C0C0C0"/>
              <w:right w:val="single" w:sz="4" w:space="0" w:color="000000"/>
            </w:tcBorders>
            <w:shd w:val="clear" w:color="auto" w:fill="auto"/>
            <w:noWrap/>
            <w:vAlign w:val="center"/>
            <w:hideMark/>
          </w:tcPr>
          <w:p w14:paraId="14EC1C50"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64,2</w:t>
            </w:r>
          </w:p>
        </w:tc>
      </w:tr>
      <w:tr w:rsidR="00F774AD" w:rsidRPr="00F774AD" w14:paraId="76AECBF6"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429A4586" w14:textId="77777777" w:rsidR="00F774AD" w:rsidRPr="00F774AD" w:rsidRDefault="00F774AD" w:rsidP="00F774AD">
            <w:pPr>
              <w:rPr>
                <w:rFonts w:ascii="Arial" w:hAnsi="Arial" w:cs="Arial"/>
                <w:sz w:val="18"/>
                <w:szCs w:val="18"/>
              </w:rPr>
            </w:pPr>
            <w:r w:rsidRPr="00F774AD">
              <w:rPr>
                <w:rFonts w:ascii="Arial" w:hAnsi="Arial" w:cs="Arial"/>
                <w:sz w:val="18"/>
                <w:szCs w:val="18"/>
              </w:rPr>
              <w:t>168</w:t>
            </w:r>
          </w:p>
        </w:tc>
        <w:tc>
          <w:tcPr>
            <w:tcW w:w="8766" w:type="dxa"/>
            <w:tcBorders>
              <w:top w:val="nil"/>
              <w:left w:val="nil"/>
              <w:bottom w:val="single" w:sz="4" w:space="0" w:color="C0C0C0"/>
              <w:right w:val="single" w:sz="4" w:space="0" w:color="000080"/>
            </w:tcBorders>
            <w:shd w:val="clear" w:color="auto" w:fill="auto"/>
            <w:vAlign w:val="center"/>
            <w:hideMark/>
          </w:tcPr>
          <w:p w14:paraId="336A06DD" w14:textId="77777777" w:rsidR="00F774AD" w:rsidRPr="00F774AD" w:rsidRDefault="00F774AD" w:rsidP="00F774AD">
            <w:pPr>
              <w:rPr>
                <w:rFonts w:ascii="Arial" w:hAnsi="Arial" w:cs="Arial"/>
                <w:sz w:val="18"/>
                <w:szCs w:val="18"/>
              </w:rPr>
            </w:pPr>
            <w:r w:rsidRPr="00F774AD">
              <w:rPr>
                <w:rFonts w:ascii="Arial" w:hAnsi="Arial" w:cs="Arial"/>
                <w:sz w:val="18"/>
                <w:szCs w:val="18"/>
              </w:rPr>
              <w:t>Potraživanja za kazne i upravne mjere te ostale prihode</w:t>
            </w:r>
          </w:p>
        </w:tc>
        <w:tc>
          <w:tcPr>
            <w:tcW w:w="717" w:type="dxa"/>
            <w:tcBorders>
              <w:top w:val="nil"/>
              <w:left w:val="nil"/>
              <w:bottom w:val="single" w:sz="4" w:space="0" w:color="C0C0C0"/>
              <w:right w:val="single" w:sz="4" w:space="0" w:color="000080"/>
            </w:tcBorders>
            <w:shd w:val="clear" w:color="auto" w:fill="auto"/>
            <w:vAlign w:val="center"/>
            <w:hideMark/>
          </w:tcPr>
          <w:p w14:paraId="05961651"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168</w:t>
            </w:r>
          </w:p>
        </w:tc>
        <w:tc>
          <w:tcPr>
            <w:tcW w:w="1481" w:type="dxa"/>
            <w:tcBorders>
              <w:top w:val="nil"/>
              <w:left w:val="nil"/>
              <w:bottom w:val="single" w:sz="4" w:space="0" w:color="C0C0C0"/>
              <w:right w:val="single" w:sz="4" w:space="0" w:color="000080"/>
            </w:tcBorders>
            <w:shd w:val="clear" w:color="auto" w:fill="auto"/>
            <w:noWrap/>
            <w:vAlign w:val="center"/>
            <w:hideMark/>
          </w:tcPr>
          <w:p w14:paraId="69E2E695"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5.363.074,81</w:t>
            </w:r>
          </w:p>
        </w:tc>
        <w:tc>
          <w:tcPr>
            <w:tcW w:w="1462" w:type="dxa"/>
            <w:tcBorders>
              <w:top w:val="nil"/>
              <w:left w:val="nil"/>
              <w:bottom w:val="single" w:sz="4" w:space="0" w:color="C0C0C0"/>
              <w:right w:val="single" w:sz="4" w:space="0" w:color="000080"/>
            </w:tcBorders>
            <w:shd w:val="clear" w:color="auto" w:fill="auto"/>
            <w:noWrap/>
            <w:vAlign w:val="center"/>
            <w:hideMark/>
          </w:tcPr>
          <w:p w14:paraId="40B4D512"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77.495.038,88</w:t>
            </w:r>
          </w:p>
        </w:tc>
        <w:tc>
          <w:tcPr>
            <w:tcW w:w="967" w:type="dxa"/>
            <w:tcBorders>
              <w:top w:val="nil"/>
              <w:left w:val="nil"/>
              <w:bottom w:val="single" w:sz="4" w:space="0" w:color="C0C0C0"/>
              <w:right w:val="single" w:sz="4" w:space="0" w:color="000000"/>
            </w:tcBorders>
            <w:shd w:val="clear" w:color="auto" w:fill="auto"/>
            <w:noWrap/>
            <w:vAlign w:val="center"/>
            <w:hideMark/>
          </w:tcPr>
          <w:p w14:paraId="745EDF70"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1.445,0</w:t>
            </w:r>
          </w:p>
        </w:tc>
      </w:tr>
      <w:tr w:rsidR="00F774AD" w:rsidRPr="00F774AD" w14:paraId="7EEE9CD3"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2AD39B5F" w14:textId="77777777" w:rsidR="00F774AD" w:rsidRPr="00F774AD" w:rsidRDefault="00F774AD" w:rsidP="00F774AD">
            <w:pPr>
              <w:rPr>
                <w:rFonts w:ascii="Arial" w:hAnsi="Arial" w:cs="Arial"/>
                <w:sz w:val="18"/>
                <w:szCs w:val="18"/>
              </w:rPr>
            </w:pPr>
            <w:r w:rsidRPr="00F774AD">
              <w:rPr>
                <w:rFonts w:ascii="Arial" w:hAnsi="Arial" w:cs="Arial"/>
                <w:sz w:val="18"/>
                <w:szCs w:val="18"/>
              </w:rPr>
              <w:t>169</w:t>
            </w:r>
          </w:p>
        </w:tc>
        <w:tc>
          <w:tcPr>
            <w:tcW w:w="8766" w:type="dxa"/>
            <w:tcBorders>
              <w:top w:val="nil"/>
              <w:left w:val="nil"/>
              <w:bottom w:val="single" w:sz="4" w:space="0" w:color="C0C0C0"/>
              <w:right w:val="single" w:sz="4" w:space="0" w:color="000080"/>
            </w:tcBorders>
            <w:shd w:val="clear" w:color="auto" w:fill="auto"/>
            <w:vAlign w:val="center"/>
            <w:hideMark/>
          </w:tcPr>
          <w:p w14:paraId="12FC60DC" w14:textId="77777777" w:rsidR="00F774AD" w:rsidRPr="00F774AD" w:rsidRDefault="00F774AD" w:rsidP="00F774AD">
            <w:pPr>
              <w:rPr>
                <w:rFonts w:ascii="Arial" w:hAnsi="Arial" w:cs="Arial"/>
                <w:sz w:val="18"/>
                <w:szCs w:val="18"/>
              </w:rPr>
            </w:pPr>
            <w:r w:rsidRPr="00F774AD">
              <w:rPr>
                <w:rFonts w:ascii="Arial" w:hAnsi="Arial" w:cs="Arial"/>
                <w:sz w:val="18"/>
                <w:szCs w:val="18"/>
              </w:rPr>
              <w:t>Ispravak vrijednosti potraživanja</w:t>
            </w:r>
          </w:p>
        </w:tc>
        <w:tc>
          <w:tcPr>
            <w:tcW w:w="717" w:type="dxa"/>
            <w:tcBorders>
              <w:top w:val="nil"/>
              <w:left w:val="nil"/>
              <w:bottom w:val="single" w:sz="4" w:space="0" w:color="C0C0C0"/>
              <w:right w:val="single" w:sz="4" w:space="0" w:color="000080"/>
            </w:tcBorders>
            <w:shd w:val="clear" w:color="auto" w:fill="auto"/>
            <w:vAlign w:val="center"/>
            <w:hideMark/>
          </w:tcPr>
          <w:p w14:paraId="771C8720"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169</w:t>
            </w:r>
          </w:p>
        </w:tc>
        <w:tc>
          <w:tcPr>
            <w:tcW w:w="1481" w:type="dxa"/>
            <w:tcBorders>
              <w:top w:val="nil"/>
              <w:left w:val="nil"/>
              <w:bottom w:val="single" w:sz="4" w:space="0" w:color="C0C0C0"/>
              <w:right w:val="single" w:sz="4" w:space="0" w:color="000080"/>
            </w:tcBorders>
            <w:shd w:val="clear" w:color="auto" w:fill="auto"/>
            <w:noWrap/>
            <w:vAlign w:val="center"/>
            <w:hideMark/>
          </w:tcPr>
          <w:p w14:paraId="1C78C11A"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4.944.913,75</w:t>
            </w:r>
          </w:p>
        </w:tc>
        <w:tc>
          <w:tcPr>
            <w:tcW w:w="1462" w:type="dxa"/>
            <w:tcBorders>
              <w:top w:val="nil"/>
              <w:left w:val="nil"/>
              <w:bottom w:val="single" w:sz="4" w:space="0" w:color="C0C0C0"/>
              <w:right w:val="single" w:sz="4" w:space="0" w:color="000080"/>
            </w:tcBorders>
            <w:shd w:val="clear" w:color="auto" w:fill="auto"/>
            <w:noWrap/>
            <w:vAlign w:val="center"/>
            <w:hideMark/>
          </w:tcPr>
          <w:p w14:paraId="5F94BA44"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4.907.881,62</w:t>
            </w:r>
          </w:p>
        </w:tc>
        <w:tc>
          <w:tcPr>
            <w:tcW w:w="967" w:type="dxa"/>
            <w:tcBorders>
              <w:top w:val="nil"/>
              <w:left w:val="nil"/>
              <w:bottom w:val="single" w:sz="4" w:space="0" w:color="C0C0C0"/>
              <w:right w:val="single" w:sz="4" w:space="0" w:color="000000"/>
            </w:tcBorders>
            <w:shd w:val="clear" w:color="auto" w:fill="auto"/>
            <w:noWrap/>
            <w:vAlign w:val="center"/>
            <w:hideMark/>
          </w:tcPr>
          <w:p w14:paraId="67BAA8E7"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99,3</w:t>
            </w:r>
          </w:p>
        </w:tc>
      </w:tr>
      <w:tr w:rsidR="00F774AD" w:rsidRPr="00F774AD" w14:paraId="41915FF3" w14:textId="77777777" w:rsidTr="00F774AD">
        <w:trPr>
          <w:trHeight w:val="480"/>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4954B8E8" w14:textId="77777777" w:rsidR="00F774AD" w:rsidRPr="00F774AD" w:rsidRDefault="00F774AD" w:rsidP="00F774AD">
            <w:pPr>
              <w:rPr>
                <w:rFonts w:ascii="Arial" w:hAnsi="Arial" w:cs="Arial"/>
                <w:sz w:val="18"/>
                <w:szCs w:val="18"/>
              </w:rPr>
            </w:pPr>
            <w:r w:rsidRPr="00F774AD">
              <w:rPr>
                <w:rFonts w:ascii="Arial" w:hAnsi="Arial" w:cs="Arial"/>
                <w:sz w:val="18"/>
                <w:szCs w:val="18"/>
              </w:rPr>
              <w:t>19</w:t>
            </w:r>
          </w:p>
        </w:tc>
        <w:tc>
          <w:tcPr>
            <w:tcW w:w="8766" w:type="dxa"/>
            <w:tcBorders>
              <w:top w:val="nil"/>
              <w:left w:val="nil"/>
              <w:bottom w:val="single" w:sz="4" w:space="0" w:color="C0C0C0"/>
              <w:right w:val="single" w:sz="4" w:space="0" w:color="000080"/>
            </w:tcBorders>
            <w:shd w:val="clear" w:color="auto" w:fill="auto"/>
            <w:vAlign w:val="center"/>
            <w:hideMark/>
          </w:tcPr>
          <w:p w14:paraId="524685DB" w14:textId="77777777" w:rsidR="00F774AD" w:rsidRPr="00F774AD" w:rsidRDefault="00F774AD" w:rsidP="00F774AD">
            <w:pPr>
              <w:rPr>
                <w:rFonts w:ascii="Arial" w:hAnsi="Arial" w:cs="Arial"/>
                <w:sz w:val="18"/>
                <w:szCs w:val="18"/>
              </w:rPr>
            </w:pPr>
            <w:r w:rsidRPr="00F774AD">
              <w:rPr>
                <w:rFonts w:ascii="Arial" w:hAnsi="Arial" w:cs="Arial"/>
                <w:sz w:val="18"/>
                <w:szCs w:val="18"/>
              </w:rPr>
              <w:t>Rashodi budućih razdoblja i nedospjela naplata prihoda (aktivna vremenska razgraničenja) (šifre 191 do 193)</w:t>
            </w:r>
          </w:p>
        </w:tc>
        <w:tc>
          <w:tcPr>
            <w:tcW w:w="717" w:type="dxa"/>
            <w:tcBorders>
              <w:top w:val="nil"/>
              <w:left w:val="nil"/>
              <w:bottom w:val="single" w:sz="4" w:space="0" w:color="C0C0C0"/>
              <w:right w:val="single" w:sz="4" w:space="0" w:color="000080"/>
            </w:tcBorders>
            <w:shd w:val="clear" w:color="auto" w:fill="auto"/>
            <w:vAlign w:val="center"/>
            <w:hideMark/>
          </w:tcPr>
          <w:p w14:paraId="7689F9C6"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19</w:t>
            </w:r>
          </w:p>
        </w:tc>
        <w:tc>
          <w:tcPr>
            <w:tcW w:w="1481" w:type="dxa"/>
            <w:tcBorders>
              <w:top w:val="nil"/>
              <w:left w:val="nil"/>
              <w:bottom w:val="single" w:sz="4" w:space="0" w:color="C0C0C0"/>
              <w:right w:val="single" w:sz="4" w:space="0" w:color="000080"/>
            </w:tcBorders>
            <w:shd w:val="clear" w:color="auto" w:fill="auto"/>
            <w:noWrap/>
            <w:vAlign w:val="center"/>
            <w:hideMark/>
          </w:tcPr>
          <w:p w14:paraId="26400B41"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34.850.833,68</w:t>
            </w:r>
          </w:p>
        </w:tc>
        <w:tc>
          <w:tcPr>
            <w:tcW w:w="1462" w:type="dxa"/>
            <w:tcBorders>
              <w:top w:val="nil"/>
              <w:left w:val="nil"/>
              <w:bottom w:val="single" w:sz="4" w:space="0" w:color="C0C0C0"/>
              <w:right w:val="single" w:sz="4" w:space="0" w:color="000080"/>
            </w:tcBorders>
            <w:shd w:val="clear" w:color="auto" w:fill="auto"/>
            <w:noWrap/>
            <w:vAlign w:val="center"/>
            <w:hideMark/>
          </w:tcPr>
          <w:p w14:paraId="01FC8CDE"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549.804,92</w:t>
            </w:r>
          </w:p>
        </w:tc>
        <w:tc>
          <w:tcPr>
            <w:tcW w:w="967" w:type="dxa"/>
            <w:tcBorders>
              <w:top w:val="nil"/>
              <w:left w:val="nil"/>
              <w:bottom w:val="single" w:sz="4" w:space="0" w:color="C0C0C0"/>
              <w:right w:val="single" w:sz="4" w:space="0" w:color="000000"/>
            </w:tcBorders>
            <w:shd w:val="clear" w:color="auto" w:fill="auto"/>
            <w:noWrap/>
            <w:vAlign w:val="center"/>
            <w:hideMark/>
          </w:tcPr>
          <w:p w14:paraId="50B4C25E"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1,6</w:t>
            </w:r>
          </w:p>
        </w:tc>
      </w:tr>
      <w:tr w:rsidR="00F774AD" w:rsidRPr="00F774AD" w14:paraId="5B3BD733"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011AC8EB" w14:textId="77777777" w:rsidR="00F774AD" w:rsidRPr="00F774AD" w:rsidRDefault="00F774AD" w:rsidP="00F774AD">
            <w:pPr>
              <w:rPr>
                <w:rFonts w:ascii="Arial" w:hAnsi="Arial" w:cs="Arial"/>
                <w:sz w:val="18"/>
                <w:szCs w:val="18"/>
              </w:rPr>
            </w:pPr>
            <w:r w:rsidRPr="00F774AD">
              <w:rPr>
                <w:rFonts w:ascii="Arial" w:hAnsi="Arial" w:cs="Arial"/>
                <w:sz w:val="18"/>
                <w:szCs w:val="18"/>
              </w:rPr>
              <w:t>191</w:t>
            </w:r>
          </w:p>
        </w:tc>
        <w:tc>
          <w:tcPr>
            <w:tcW w:w="8766" w:type="dxa"/>
            <w:tcBorders>
              <w:top w:val="nil"/>
              <w:left w:val="nil"/>
              <w:bottom w:val="single" w:sz="4" w:space="0" w:color="C0C0C0"/>
              <w:right w:val="single" w:sz="4" w:space="0" w:color="000080"/>
            </w:tcBorders>
            <w:shd w:val="clear" w:color="auto" w:fill="auto"/>
            <w:vAlign w:val="center"/>
            <w:hideMark/>
          </w:tcPr>
          <w:p w14:paraId="7B9A9877" w14:textId="77777777" w:rsidR="00F774AD" w:rsidRPr="00F774AD" w:rsidRDefault="00F774AD" w:rsidP="00F774AD">
            <w:pPr>
              <w:rPr>
                <w:rFonts w:ascii="Arial" w:hAnsi="Arial" w:cs="Arial"/>
                <w:sz w:val="18"/>
                <w:szCs w:val="18"/>
              </w:rPr>
            </w:pPr>
            <w:r w:rsidRPr="00F774AD">
              <w:rPr>
                <w:rFonts w:ascii="Arial" w:hAnsi="Arial" w:cs="Arial"/>
                <w:sz w:val="18"/>
                <w:szCs w:val="18"/>
              </w:rPr>
              <w:t>Rashodi budućih razdoblja</w:t>
            </w:r>
          </w:p>
        </w:tc>
        <w:tc>
          <w:tcPr>
            <w:tcW w:w="717" w:type="dxa"/>
            <w:tcBorders>
              <w:top w:val="nil"/>
              <w:left w:val="nil"/>
              <w:bottom w:val="single" w:sz="4" w:space="0" w:color="C0C0C0"/>
              <w:right w:val="single" w:sz="4" w:space="0" w:color="000080"/>
            </w:tcBorders>
            <w:shd w:val="clear" w:color="auto" w:fill="auto"/>
            <w:vAlign w:val="center"/>
            <w:hideMark/>
          </w:tcPr>
          <w:p w14:paraId="74D7F6CD"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191</w:t>
            </w:r>
          </w:p>
        </w:tc>
        <w:tc>
          <w:tcPr>
            <w:tcW w:w="1481" w:type="dxa"/>
            <w:tcBorders>
              <w:top w:val="nil"/>
              <w:left w:val="nil"/>
              <w:bottom w:val="single" w:sz="4" w:space="0" w:color="C0C0C0"/>
              <w:right w:val="single" w:sz="4" w:space="0" w:color="000080"/>
            </w:tcBorders>
            <w:shd w:val="clear" w:color="auto" w:fill="auto"/>
            <w:noWrap/>
            <w:vAlign w:val="center"/>
            <w:hideMark/>
          </w:tcPr>
          <w:p w14:paraId="1C241FAB"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413.103,31</w:t>
            </w:r>
          </w:p>
        </w:tc>
        <w:tc>
          <w:tcPr>
            <w:tcW w:w="1462" w:type="dxa"/>
            <w:tcBorders>
              <w:top w:val="nil"/>
              <w:left w:val="nil"/>
              <w:bottom w:val="single" w:sz="4" w:space="0" w:color="C0C0C0"/>
              <w:right w:val="single" w:sz="4" w:space="0" w:color="000080"/>
            </w:tcBorders>
            <w:shd w:val="clear" w:color="auto" w:fill="auto"/>
            <w:noWrap/>
            <w:vAlign w:val="center"/>
            <w:hideMark/>
          </w:tcPr>
          <w:p w14:paraId="30DFAD14"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549.804,92</w:t>
            </w:r>
          </w:p>
        </w:tc>
        <w:tc>
          <w:tcPr>
            <w:tcW w:w="967" w:type="dxa"/>
            <w:tcBorders>
              <w:top w:val="nil"/>
              <w:left w:val="nil"/>
              <w:bottom w:val="single" w:sz="4" w:space="0" w:color="C0C0C0"/>
              <w:right w:val="single" w:sz="4" w:space="0" w:color="000000"/>
            </w:tcBorders>
            <w:shd w:val="clear" w:color="auto" w:fill="auto"/>
            <w:noWrap/>
            <w:vAlign w:val="center"/>
            <w:hideMark/>
          </w:tcPr>
          <w:p w14:paraId="0FFF9676"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133,1</w:t>
            </w:r>
          </w:p>
        </w:tc>
      </w:tr>
      <w:tr w:rsidR="00F774AD" w:rsidRPr="00F774AD" w14:paraId="78061715" w14:textId="77777777" w:rsidTr="00F774AD">
        <w:trPr>
          <w:trHeight w:val="240"/>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61C210BA" w14:textId="77777777" w:rsidR="00F774AD" w:rsidRPr="00F774AD" w:rsidRDefault="00F774AD" w:rsidP="00F774AD">
            <w:pPr>
              <w:rPr>
                <w:rFonts w:ascii="Arial" w:hAnsi="Arial" w:cs="Arial"/>
                <w:sz w:val="18"/>
                <w:szCs w:val="18"/>
              </w:rPr>
            </w:pPr>
            <w:r w:rsidRPr="00F774AD">
              <w:rPr>
                <w:rFonts w:ascii="Arial" w:hAnsi="Arial" w:cs="Arial"/>
                <w:sz w:val="18"/>
                <w:szCs w:val="18"/>
              </w:rPr>
              <w:t>193</w:t>
            </w:r>
          </w:p>
        </w:tc>
        <w:tc>
          <w:tcPr>
            <w:tcW w:w="8766" w:type="dxa"/>
            <w:tcBorders>
              <w:top w:val="nil"/>
              <w:left w:val="nil"/>
              <w:bottom w:val="single" w:sz="4" w:space="0" w:color="C0C0C0"/>
              <w:right w:val="single" w:sz="4" w:space="0" w:color="000080"/>
            </w:tcBorders>
            <w:shd w:val="clear" w:color="auto" w:fill="auto"/>
            <w:vAlign w:val="center"/>
            <w:hideMark/>
          </w:tcPr>
          <w:p w14:paraId="6D08AA13" w14:textId="77777777" w:rsidR="00F774AD" w:rsidRPr="00F774AD" w:rsidRDefault="00F774AD" w:rsidP="00F774AD">
            <w:pPr>
              <w:rPr>
                <w:rFonts w:ascii="Arial" w:hAnsi="Arial" w:cs="Arial"/>
                <w:sz w:val="18"/>
                <w:szCs w:val="18"/>
              </w:rPr>
            </w:pPr>
            <w:r w:rsidRPr="00F774AD">
              <w:rPr>
                <w:rFonts w:ascii="Arial" w:hAnsi="Arial" w:cs="Arial"/>
                <w:sz w:val="18"/>
                <w:szCs w:val="18"/>
              </w:rPr>
              <w:t>Kontinuirani rashodi budućih razdoblja</w:t>
            </w:r>
          </w:p>
        </w:tc>
        <w:tc>
          <w:tcPr>
            <w:tcW w:w="717" w:type="dxa"/>
            <w:tcBorders>
              <w:top w:val="nil"/>
              <w:left w:val="nil"/>
              <w:bottom w:val="single" w:sz="4" w:space="0" w:color="C0C0C0"/>
              <w:right w:val="single" w:sz="4" w:space="0" w:color="000080"/>
            </w:tcBorders>
            <w:shd w:val="clear" w:color="auto" w:fill="auto"/>
            <w:vAlign w:val="center"/>
            <w:hideMark/>
          </w:tcPr>
          <w:p w14:paraId="00719A6F"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193</w:t>
            </w:r>
          </w:p>
        </w:tc>
        <w:tc>
          <w:tcPr>
            <w:tcW w:w="1481" w:type="dxa"/>
            <w:tcBorders>
              <w:top w:val="nil"/>
              <w:left w:val="nil"/>
              <w:bottom w:val="single" w:sz="4" w:space="0" w:color="C0C0C0"/>
              <w:right w:val="single" w:sz="4" w:space="0" w:color="000080"/>
            </w:tcBorders>
            <w:shd w:val="clear" w:color="auto" w:fill="auto"/>
            <w:noWrap/>
            <w:vAlign w:val="center"/>
            <w:hideMark/>
          </w:tcPr>
          <w:p w14:paraId="213E4DCC"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34.437.730,37</w:t>
            </w:r>
          </w:p>
        </w:tc>
        <w:tc>
          <w:tcPr>
            <w:tcW w:w="1462" w:type="dxa"/>
            <w:tcBorders>
              <w:top w:val="nil"/>
              <w:left w:val="nil"/>
              <w:bottom w:val="single" w:sz="4" w:space="0" w:color="C0C0C0"/>
              <w:right w:val="single" w:sz="4" w:space="0" w:color="000080"/>
            </w:tcBorders>
            <w:shd w:val="clear" w:color="auto" w:fill="auto"/>
            <w:noWrap/>
            <w:vAlign w:val="center"/>
            <w:hideMark/>
          </w:tcPr>
          <w:p w14:paraId="6E3B4ACC"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 </w:t>
            </w:r>
          </w:p>
        </w:tc>
        <w:tc>
          <w:tcPr>
            <w:tcW w:w="967" w:type="dxa"/>
            <w:tcBorders>
              <w:top w:val="nil"/>
              <w:left w:val="nil"/>
              <w:bottom w:val="single" w:sz="4" w:space="0" w:color="C0C0C0"/>
              <w:right w:val="single" w:sz="4" w:space="0" w:color="000000"/>
            </w:tcBorders>
            <w:shd w:val="clear" w:color="auto" w:fill="auto"/>
            <w:noWrap/>
            <w:vAlign w:val="center"/>
            <w:hideMark/>
          </w:tcPr>
          <w:p w14:paraId="73B16895"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0,0</w:t>
            </w:r>
          </w:p>
        </w:tc>
      </w:tr>
      <w:tr w:rsidR="00F774AD" w:rsidRPr="00F774AD" w14:paraId="76F46C02" w14:textId="77777777" w:rsidTr="00F774AD">
        <w:trPr>
          <w:trHeight w:val="402"/>
        </w:trPr>
        <w:tc>
          <w:tcPr>
            <w:tcW w:w="9737" w:type="dxa"/>
            <w:gridSpan w:val="2"/>
            <w:tcBorders>
              <w:top w:val="single" w:sz="4" w:space="0" w:color="000000"/>
              <w:left w:val="single" w:sz="4" w:space="0" w:color="000000"/>
              <w:bottom w:val="single" w:sz="4" w:space="0" w:color="C0C0C0"/>
              <w:right w:val="single" w:sz="4" w:space="0" w:color="000080"/>
            </w:tcBorders>
            <w:shd w:val="clear" w:color="DBE5F1" w:fill="DBE5F1"/>
            <w:vAlign w:val="center"/>
            <w:hideMark/>
          </w:tcPr>
          <w:p w14:paraId="1CB083AE" w14:textId="77777777" w:rsidR="00F774AD" w:rsidRPr="00F774AD" w:rsidRDefault="00F774AD" w:rsidP="00F774AD">
            <w:pPr>
              <w:rPr>
                <w:rFonts w:ascii="Arial" w:hAnsi="Arial" w:cs="Arial"/>
                <w:b/>
                <w:bCs/>
                <w:color w:val="0C0C0C"/>
              </w:rPr>
            </w:pPr>
            <w:r w:rsidRPr="00F774AD">
              <w:rPr>
                <w:rFonts w:ascii="Arial" w:hAnsi="Arial" w:cs="Arial"/>
                <w:b/>
                <w:bCs/>
                <w:color w:val="0C0C0C"/>
              </w:rPr>
              <w:t>OBVEZE I VLASTITI IZVORI</w:t>
            </w:r>
          </w:p>
        </w:tc>
        <w:tc>
          <w:tcPr>
            <w:tcW w:w="717" w:type="dxa"/>
            <w:tcBorders>
              <w:top w:val="single" w:sz="4" w:space="0" w:color="000000"/>
              <w:left w:val="single" w:sz="4" w:space="0" w:color="000000"/>
              <w:bottom w:val="single" w:sz="4" w:space="0" w:color="C0C0C0"/>
              <w:right w:val="nil"/>
            </w:tcBorders>
            <w:shd w:val="clear" w:color="DBE5F1" w:fill="DBE5F1"/>
            <w:vAlign w:val="center"/>
            <w:hideMark/>
          </w:tcPr>
          <w:p w14:paraId="3AB87836" w14:textId="77777777" w:rsidR="00F774AD" w:rsidRPr="00F774AD" w:rsidRDefault="00F774AD" w:rsidP="00F774AD">
            <w:pPr>
              <w:rPr>
                <w:rFonts w:ascii="Arial" w:hAnsi="Arial" w:cs="Arial"/>
                <w:b/>
                <w:bCs/>
                <w:color w:val="0C0C0C"/>
                <w:sz w:val="18"/>
                <w:szCs w:val="18"/>
              </w:rPr>
            </w:pPr>
            <w:r w:rsidRPr="00F774AD">
              <w:rPr>
                <w:rFonts w:ascii="Arial" w:hAnsi="Arial" w:cs="Arial"/>
                <w:b/>
                <w:bCs/>
                <w:color w:val="0C0C0C"/>
                <w:sz w:val="18"/>
                <w:szCs w:val="18"/>
              </w:rPr>
              <w:t> </w:t>
            </w:r>
          </w:p>
        </w:tc>
        <w:tc>
          <w:tcPr>
            <w:tcW w:w="1481" w:type="dxa"/>
            <w:tcBorders>
              <w:top w:val="single" w:sz="4" w:space="0" w:color="000000"/>
              <w:left w:val="single" w:sz="4" w:space="0" w:color="000080"/>
              <w:bottom w:val="single" w:sz="4" w:space="0" w:color="C0C0C0"/>
              <w:right w:val="single" w:sz="4" w:space="0" w:color="000080"/>
            </w:tcBorders>
            <w:shd w:val="clear" w:color="DBE5F1" w:fill="DBE5F1"/>
            <w:noWrap/>
            <w:vAlign w:val="center"/>
            <w:hideMark/>
          </w:tcPr>
          <w:p w14:paraId="51E88CD4" w14:textId="77777777" w:rsidR="00F774AD" w:rsidRPr="00F774AD" w:rsidRDefault="00F774AD" w:rsidP="00F774AD">
            <w:pPr>
              <w:rPr>
                <w:rFonts w:ascii="Arial" w:hAnsi="Arial" w:cs="Arial"/>
                <w:b/>
                <w:bCs/>
                <w:color w:val="0C0C0C"/>
                <w:sz w:val="16"/>
                <w:szCs w:val="16"/>
              </w:rPr>
            </w:pPr>
            <w:r w:rsidRPr="00F774AD">
              <w:rPr>
                <w:rFonts w:ascii="Arial" w:hAnsi="Arial" w:cs="Arial"/>
                <w:b/>
                <w:bCs/>
                <w:color w:val="0C0C0C"/>
                <w:sz w:val="16"/>
                <w:szCs w:val="16"/>
              </w:rPr>
              <w:t> </w:t>
            </w:r>
          </w:p>
        </w:tc>
        <w:tc>
          <w:tcPr>
            <w:tcW w:w="1462" w:type="dxa"/>
            <w:tcBorders>
              <w:top w:val="single" w:sz="4" w:space="0" w:color="000000"/>
              <w:left w:val="nil"/>
              <w:bottom w:val="single" w:sz="4" w:space="0" w:color="C0C0C0"/>
              <w:right w:val="single" w:sz="4" w:space="0" w:color="000080"/>
            </w:tcBorders>
            <w:shd w:val="clear" w:color="DBE5F1" w:fill="DBE5F1"/>
            <w:noWrap/>
            <w:vAlign w:val="center"/>
            <w:hideMark/>
          </w:tcPr>
          <w:p w14:paraId="616F795B" w14:textId="77777777" w:rsidR="00F774AD" w:rsidRPr="00F774AD" w:rsidRDefault="00F774AD" w:rsidP="00F774AD">
            <w:pPr>
              <w:rPr>
                <w:rFonts w:ascii="Arial" w:hAnsi="Arial" w:cs="Arial"/>
                <w:b/>
                <w:bCs/>
                <w:color w:val="0C0C0C"/>
                <w:sz w:val="16"/>
                <w:szCs w:val="16"/>
              </w:rPr>
            </w:pPr>
            <w:r w:rsidRPr="00F774AD">
              <w:rPr>
                <w:rFonts w:ascii="Arial" w:hAnsi="Arial" w:cs="Arial"/>
                <w:b/>
                <w:bCs/>
                <w:color w:val="0C0C0C"/>
                <w:sz w:val="16"/>
                <w:szCs w:val="16"/>
              </w:rPr>
              <w:t> </w:t>
            </w:r>
          </w:p>
        </w:tc>
        <w:tc>
          <w:tcPr>
            <w:tcW w:w="967" w:type="dxa"/>
            <w:tcBorders>
              <w:top w:val="single" w:sz="4" w:space="0" w:color="000000"/>
              <w:left w:val="nil"/>
              <w:bottom w:val="single" w:sz="4" w:space="0" w:color="C0C0C0"/>
              <w:right w:val="single" w:sz="4" w:space="0" w:color="000000"/>
            </w:tcBorders>
            <w:shd w:val="clear" w:color="DBE5F1" w:fill="DBE5F1"/>
            <w:noWrap/>
            <w:vAlign w:val="center"/>
            <w:hideMark/>
          </w:tcPr>
          <w:p w14:paraId="0C8F77D2" w14:textId="77777777" w:rsidR="00F774AD" w:rsidRPr="00F774AD" w:rsidRDefault="00F774AD" w:rsidP="00F774AD">
            <w:pPr>
              <w:rPr>
                <w:rFonts w:ascii="Arial" w:hAnsi="Arial" w:cs="Arial"/>
                <w:b/>
                <w:bCs/>
                <w:color w:val="0C0C0C"/>
                <w:sz w:val="16"/>
                <w:szCs w:val="16"/>
              </w:rPr>
            </w:pPr>
            <w:r w:rsidRPr="00F774AD">
              <w:rPr>
                <w:rFonts w:ascii="Arial" w:hAnsi="Arial" w:cs="Arial"/>
                <w:b/>
                <w:bCs/>
                <w:color w:val="0C0C0C"/>
                <w:sz w:val="16"/>
                <w:szCs w:val="16"/>
              </w:rPr>
              <w:t> </w:t>
            </w:r>
          </w:p>
        </w:tc>
      </w:tr>
      <w:tr w:rsidR="00F774AD" w:rsidRPr="00F774AD" w14:paraId="53FC601A"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19E075D3" w14:textId="77777777" w:rsidR="00F774AD" w:rsidRPr="00F774AD" w:rsidRDefault="00F774AD" w:rsidP="00F774AD">
            <w:pPr>
              <w:rPr>
                <w:rFonts w:ascii="Arial" w:hAnsi="Arial" w:cs="Arial"/>
                <w:sz w:val="18"/>
                <w:szCs w:val="18"/>
              </w:rPr>
            </w:pPr>
            <w:r w:rsidRPr="00F774AD">
              <w:rPr>
                <w:rFonts w:ascii="Arial" w:hAnsi="Arial" w:cs="Arial"/>
                <w:sz w:val="18"/>
                <w:szCs w:val="18"/>
              </w:rPr>
              <w:t> </w:t>
            </w:r>
          </w:p>
        </w:tc>
        <w:tc>
          <w:tcPr>
            <w:tcW w:w="8766" w:type="dxa"/>
            <w:tcBorders>
              <w:top w:val="nil"/>
              <w:left w:val="nil"/>
              <w:bottom w:val="single" w:sz="4" w:space="0" w:color="C0C0C0"/>
              <w:right w:val="single" w:sz="4" w:space="0" w:color="000080"/>
            </w:tcBorders>
            <w:shd w:val="clear" w:color="auto" w:fill="auto"/>
            <w:vAlign w:val="center"/>
            <w:hideMark/>
          </w:tcPr>
          <w:p w14:paraId="5314E51C" w14:textId="77777777" w:rsidR="00F774AD" w:rsidRPr="00F774AD" w:rsidRDefault="00F774AD" w:rsidP="00F774AD">
            <w:pPr>
              <w:rPr>
                <w:rFonts w:ascii="Arial" w:hAnsi="Arial" w:cs="Arial"/>
                <w:sz w:val="18"/>
                <w:szCs w:val="18"/>
              </w:rPr>
            </w:pPr>
            <w:r w:rsidRPr="00F774AD">
              <w:rPr>
                <w:rFonts w:ascii="Arial" w:hAnsi="Arial" w:cs="Arial"/>
                <w:sz w:val="18"/>
                <w:szCs w:val="18"/>
              </w:rPr>
              <w:t>OBVEZE I VLASTITI IZVORI (šifre 2+9)</w:t>
            </w:r>
          </w:p>
        </w:tc>
        <w:tc>
          <w:tcPr>
            <w:tcW w:w="717" w:type="dxa"/>
            <w:tcBorders>
              <w:top w:val="nil"/>
              <w:left w:val="nil"/>
              <w:bottom w:val="single" w:sz="4" w:space="0" w:color="C0C0C0"/>
              <w:right w:val="single" w:sz="4" w:space="0" w:color="000080"/>
            </w:tcBorders>
            <w:shd w:val="clear" w:color="auto" w:fill="auto"/>
            <w:vAlign w:val="center"/>
            <w:hideMark/>
          </w:tcPr>
          <w:p w14:paraId="63A64B9F"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B003</w:t>
            </w:r>
          </w:p>
        </w:tc>
        <w:tc>
          <w:tcPr>
            <w:tcW w:w="1481" w:type="dxa"/>
            <w:tcBorders>
              <w:top w:val="nil"/>
              <w:left w:val="nil"/>
              <w:bottom w:val="single" w:sz="4" w:space="0" w:color="C0C0C0"/>
              <w:right w:val="single" w:sz="4" w:space="0" w:color="000080"/>
            </w:tcBorders>
            <w:shd w:val="clear" w:color="auto" w:fill="auto"/>
            <w:noWrap/>
            <w:vAlign w:val="center"/>
            <w:hideMark/>
          </w:tcPr>
          <w:p w14:paraId="7DAFF48A"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359.202.433,08</w:t>
            </w:r>
          </w:p>
        </w:tc>
        <w:tc>
          <w:tcPr>
            <w:tcW w:w="1462" w:type="dxa"/>
            <w:tcBorders>
              <w:top w:val="nil"/>
              <w:left w:val="nil"/>
              <w:bottom w:val="single" w:sz="4" w:space="0" w:color="C0C0C0"/>
              <w:right w:val="single" w:sz="4" w:space="0" w:color="000080"/>
            </w:tcBorders>
            <w:shd w:val="clear" w:color="auto" w:fill="auto"/>
            <w:noWrap/>
            <w:vAlign w:val="center"/>
            <w:hideMark/>
          </w:tcPr>
          <w:p w14:paraId="624553E8"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457.077.471,72</w:t>
            </w:r>
          </w:p>
        </w:tc>
        <w:tc>
          <w:tcPr>
            <w:tcW w:w="967" w:type="dxa"/>
            <w:tcBorders>
              <w:top w:val="nil"/>
              <w:left w:val="nil"/>
              <w:bottom w:val="single" w:sz="4" w:space="0" w:color="C0C0C0"/>
              <w:right w:val="single" w:sz="4" w:space="0" w:color="000000"/>
            </w:tcBorders>
            <w:shd w:val="clear" w:color="auto" w:fill="auto"/>
            <w:noWrap/>
            <w:vAlign w:val="center"/>
            <w:hideMark/>
          </w:tcPr>
          <w:p w14:paraId="18B0DC33"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127,2</w:t>
            </w:r>
          </w:p>
        </w:tc>
      </w:tr>
      <w:tr w:rsidR="00F774AD" w:rsidRPr="00F774AD" w14:paraId="10A4124F"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13FF9B8A" w14:textId="77777777" w:rsidR="00F774AD" w:rsidRPr="00F774AD" w:rsidRDefault="00F774AD" w:rsidP="00F774AD">
            <w:pPr>
              <w:rPr>
                <w:rFonts w:ascii="Arial" w:hAnsi="Arial" w:cs="Arial"/>
                <w:sz w:val="18"/>
                <w:szCs w:val="18"/>
              </w:rPr>
            </w:pPr>
            <w:r w:rsidRPr="00F774AD">
              <w:rPr>
                <w:rFonts w:ascii="Arial" w:hAnsi="Arial" w:cs="Arial"/>
                <w:sz w:val="18"/>
                <w:szCs w:val="18"/>
              </w:rPr>
              <w:t>2</w:t>
            </w:r>
          </w:p>
        </w:tc>
        <w:tc>
          <w:tcPr>
            <w:tcW w:w="8766" w:type="dxa"/>
            <w:tcBorders>
              <w:top w:val="nil"/>
              <w:left w:val="nil"/>
              <w:bottom w:val="single" w:sz="4" w:space="0" w:color="C0C0C0"/>
              <w:right w:val="single" w:sz="4" w:space="0" w:color="000080"/>
            </w:tcBorders>
            <w:shd w:val="clear" w:color="auto" w:fill="auto"/>
            <w:vAlign w:val="center"/>
            <w:hideMark/>
          </w:tcPr>
          <w:p w14:paraId="4FFECBA8" w14:textId="77777777" w:rsidR="00F774AD" w:rsidRPr="00F774AD" w:rsidRDefault="00F774AD" w:rsidP="00F774AD">
            <w:pPr>
              <w:rPr>
                <w:rFonts w:ascii="Arial" w:hAnsi="Arial" w:cs="Arial"/>
                <w:sz w:val="18"/>
                <w:szCs w:val="18"/>
              </w:rPr>
            </w:pPr>
            <w:r w:rsidRPr="00F774AD">
              <w:rPr>
                <w:rFonts w:ascii="Arial" w:hAnsi="Arial" w:cs="Arial"/>
                <w:sz w:val="18"/>
                <w:szCs w:val="18"/>
              </w:rPr>
              <w:t xml:space="preserve">Obveze (šifre 23+24+25+26+27+29) </w:t>
            </w:r>
          </w:p>
        </w:tc>
        <w:tc>
          <w:tcPr>
            <w:tcW w:w="717" w:type="dxa"/>
            <w:tcBorders>
              <w:top w:val="nil"/>
              <w:left w:val="nil"/>
              <w:bottom w:val="single" w:sz="4" w:space="0" w:color="C0C0C0"/>
              <w:right w:val="single" w:sz="4" w:space="0" w:color="000080"/>
            </w:tcBorders>
            <w:shd w:val="clear" w:color="auto" w:fill="auto"/>
            <w:vAlign w:val="center"/>
            <w:hideMark/>
          </w:tcPr>
          <w:p w14:paraId="7CD7D3A7"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2</w:t>
            </w:r>
          </w:p>
        </w:tc>
        <w:tc>
          <w:tcPr>
            <w:tcW w:w="1481" w:type="dxa"/>
            <w:tcBorders>
              <w:top w:val="nil"/>
              <w:left w:val="nil"/>
              <w:bottom w:val="single" w:sz="4" w:space="0" w:color="C0C0C0"/>
              <w:right w:val="single" w:sz="4" w:space="0" w:color="000080"/>
            </w:tcBorders>
            <w:shd w:val="clear" w:color="auto" w:fill="auto"/>
            <w:noWrap/>
            <w:vAlign w:val="center"/>
            <w:hideMark/>
          </w:tcPr>
          <w:p w14:paraId="7EDFB5E2"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58.553.876,24</w:t>
            </w:r>
          </w:p>
        </w:tc>
        <w:tc>
          <w:tcPr>
            <w:tcW w:w="1462" w:type="dxa"/>
            <w:tcBorders>
              <w:top w:val="nil"/>
              <w:left w:val="nil"/>
              <w:bottom w:val="single" w:sz="4" w:space="0" w:color="C0C0C0"/>
              <w:right w:val="single" w:sz="4" w:space="0" w:color="000080"/>
            </w:tcBorders>
            <w:shd w:val="clear" w:color="auto" w:fill="auto"/>
            <w:noWrap/>
            <w:vAlign w:val="center"/>
            <w:hideMark/>
          </w:tcPr>
          <w:p w14:paraId="6751A7FE"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130.099.809,92</w:t>
            </w:r>
          </w:p>
        </w:tc>
        <w:tc>
          <w:tcPr>
            <w:tcW w:w="967" w:type="dxa"/>
            <w:tcBorders>
              <w:top w:val="nil"/>
              <w:left w:val="nil"/>
              <w:bottom w:val="single" w:sz="4" w:space="0" w:color="C0C0C0"/>
              <w:right w:val="single" w:sz="4" w:space="0" w:color="000000"/>
            </w:tcBorders>
            <w:shd w:val="clear" w:color="auto" w:fill="auto"/>
            <w:noWrap/>
            <w:vAlign w:val="center"/>
            <w:hideMark/>
          </w:tcPr>
          <w:p w14:paraId="42A6B615"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222,2</w:t>
            </w:r>
          </w:p>
        </w:tc>
      </w:tr>
      <w:tr w:rsidR="00F774AD" w:rsidRPr="00F774AD" w14:paraId="18FAE9BC"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015F098A" w14:textId="77777777" w:rsidR="00F774AD" w:rsidRPr="00F774AD" w:rsidRDefault="00F774AD" w:rsidP="00F774AD">
            <w:pPr>
              <w:rPr>
                <w:rFonts w:ascii="Arial" w:hAnsi="Arial" w:cs="Arial"/>
                <w:sz w:val="18"/>
                <w:szCs w:val="18"/>
              </w:rPr>
            </w:pPr>
            <w:r w:rsidRPr="00F774AD">
              <w:rPr>
                <w:rFonts w:ascii="Arial" w:hAnsi="Arial" w:cs="Arial"/>
                <w:sz w:val="18"/>
                <w:szCs w:val="18"/>
              </w:rPr>
              <w:t>23</w:t>
            </w:r>
          </w:p>
        </w:tc>
        <w:tc>
          <w:tcPr>
            <w:tcW w:w="8766" w:type="dxa"/>
            <w:tcBorders>
              <w:top w:val="nil"/>
              <w:left w:val="nil"/>
              <w:bottom w:val="single" w:sz="4" w:space="0" w:color="C0C0C0"/>
              <w:right w:val="single" w:sz="4" w:space="0" w:color="000080"/>
            </w:tcBorders>
            <w:shd w:val="clear" w:color="auto" w:fill="auto"/>
            <w:vAlign w:val="center"/>
            <w:hideMark/>
          </w:tcPr>
          <w:p w14:paraId="35FDA662" w14:textId="77777777" w:rsidR="00F774AD" w:rsidRPr="00F774AD" w:rsidRDefault="00F774AD" w:rsidP="00F774AD">
            <w:pPr>
              <w:rPr>
                <w:rFonts w:ascii="Arial" w:hAnsi="Arial" w:cs="Arial"/>
                <w:sz w:val="18"/>
                <w:szCs w:val="18"/>
              </w:rPr>
            </w:pPr>
            <w:r w:rsidRPr="00F774AD">
              <w:rPr>
                <w:rFonts w:ascii="Arial" w:hAnsi="Arial" w:cs="Arial"/>
                <w:sz w:val="18"/>
                <w:szCs w:val="18"/>
              </w:rPr>
              <w:t>Obveze za rashode poslovanja (šifre 231 do 234 + 235 + 236 + 237 do 239)</w:t>
            </w:r>
          </w:p>
        </w:tc>
        <w:tc>
          <w:tcPr>
            <w:tcW w:w="717" w:type="dxa"/>
            <w:tcBorders>
              <w:top w:val="nil"/>
              <w:left w:val="nil"/>
              <w:bottom w:val="single" w:sz="4" w:space="0" w:color="C0C0C0"/>
              <w:right w:val="single" w:sz="4" w:space="0" w:color="000080"/>
            </w:tcBorders>
            <w:shd w:val="clear" w:color="auto" w:fill="auto"/>
            <w:vAlign w:val="center"/>
            <w:hideMark/>
          </w:tcPr>
          <w:p w14:paraId="5EE4E0BB"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23</w:t>
            </w:r>
          </w:p>
        </w:tc>
        <w:tc>
          <w:tcPr>
            <w:tcW w:w="1481" w:type="dxa"/>
            <w:tcBorders>
              <w:top w:val="nil"/>
              <w:left w:val="nil"/>
              <w:bottom w:val="single" w:sz="4" w:space="0" w:color="C0C0C0"/>
              <w:right w:val="single" w:sz="4" w:space="0" w:color="000080"/>
            </w:tcBorders>
            <w:shd w:val="clear" w:color="auto" w:fill="auto"/>
            <w:noWrap/>
            <w:vAlign w:val="center"/>
            <w:hideMark/>
          </w:tcPr>
          <w:p w14:paraId="0D8E5727"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58.541.711,24</w:t>
            </w:r>
          </w:p>
        </w:tc>
        <w:tc>
          <w:tcPr>
            <w:tcW w:w="1462" w:type="dxa"/>
            <w:tcBorders>
              <w:top w:val="nil"/>
              <w:left w:val="nil"/>
              <w:bottom w:val="single" w:sz="4" w:space="0" w:color="C0C0C0"/>
              <w:right w:val="single" w:sz="4" w:space="0" w:color="000080"/>
            </w:tcBorders>
            <w:shd w:val="clear" w:color="auto" w:fill="auto"/>
            <w:noWrap/>
            <w:vAlign w:val="center"/>
            <w:hideMark/>
          </w:tcPr>
          <w:p w14:paraId="28B23841"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24.460.624,23</w:t>
            </w:r>
          </w:p>
        </w:tc>
        <w:tc>
          <w:tcPr>
            <w:tcW w:w="967" w:type="dxa"/>
            <w:tcBorders>
              <w:top w:val="nil"/>
              <w:left w:val="nil"/>
              <w:bottom w:val="single" w:sz="4" w:space="0" w:color="C0C0C0"/>
              <w:right w:val="single" w:sz="4" w:space="0" w:color="000000"/>
            </w:tcBorders>
            <w:shd w:val="clear" w:color="auto" w:fill="auto"/>
            <w:noWrap/>
            <w:vAlign w:val="center"/>
            <w:hideMark/>
          </w:tcPr>
          <w:p w14:paraId="5824DB38"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41,8</w:t>
            </w:r>
          </w:p>
        </w:tc>
      </w:tr>
      <w:tr w:rsidR="00F774AD" w:rsidRPr="00F774AD" w14:paraId="0A7A415B"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6CE58478" w14:textId="77777777" w:rsidR="00F774AD" w:rsidRPr="00F774AD" w:rsidRDefault="00F774AD" w:rsidP="00F774AD">
            <w:pPr>
              <w:rPr>
                <w:rFonts w:ascii="Arial" w:hAnsi="Arial" w:cs="Arial"/>
                <w:sz w:val="18"/>
                <w:szCs w:val="18"/>
              </w:rPr>
            </w:pPr>
            <w:r w:rsidRPr="00F774AD">
              <w:rPr>
                <w:rFonts w:ascii="Arial" w:hAnsi="Arial" w:cs="Arial"/>
                <w:sz w:val="18"/>
                <w:szCs w:val="18"/>
              </w:rPr>
              <w:t>231</w:t>
            </w:r>
          </w:p>
        </w:tc>
        <w:tc>
          <w:tcPr>
            <w:tcW w:w="8766" w:type="dxa"/>
            <w:tcBorders>
              <w:top w:val="nil"/>
              <w:left w:val="nil"/>
              <w:bottom w:val="single" w:sz="4" w:space="0" w:color="C0C0C0"/>
              <w:right w:val="single" w:sz="4" w:space="0" w:color="000080"/>
            </w:tcBorders>
            <w:shd w:val="clear" w:color="auto" w:fill="auto"/>
            <w:vAlign w:val="center"/>
            <w:hideMark/>
          </w:tcPr>
          <w:p w14:paraId="3C17F21F" w14:textId="77777777" w:rsidR="00F774AD" w:rsidRPr="00F774AD" w:rsidRDefault="00F774AD" w:rsidP="00F774AD">
            <w:pPr>
              <w:rPr>
                <w:rFonts w:ascii="Arial" w:hAnsi="Arial" w:cs="Arial"/>
                <w:sz w:val="18"/>
                <w:szCs w:val="18"/>
              </w:rPr>
            </w:pPr>
            <w:r w:rsidRPr="00F774AD">
              <w:rPr>
                <w:rFonts w:ascii="Arial" w:hAnsi="Arial" w:cs="Arial"/>
                <w:sz w:val="18"/>
                <w:szCs w:val="18"/>
              </w:rPr>
              <w:t>Obveze za zaposlene</w:t>
            </w:r>
          </w:p>
        </w:tc>
        <w:tc>
          <w:tcPr>
            <w:tcW w:w="717" w:type="dxa"/>
            <w:tcBorders>
              <w:top w:val="nil"/>
              <w:left w:val="nil"/>
              <w:bottom w:val="single" w:sz="4" w:space="0" w:color="C0C0C0"/>
              <w:right w:val="single" w:sz="4" w:space="0" w:color="000080"/>
            </w:tcBorders>
            <w:shd w:val="clear" w:color="auto" w:fill="auto"/>
            <w:vAlign w:val="center"/>
            <w:hideMark/>
          </w:tcPr>
          <w:p w14:paraId="7DB052EB"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231</w:t>
            </w:r>
          </w:p>
        </w:tc>
        <w:tc>
          <w:tcPr>
            <w:tcW w:w="1481" w:type="dxa"/>
            <w:tcBorders>
              <w:top w:val="nil"/>
              <w:left w:val="nil"/>
              <w:bottom w:val="single" w:sz="4" w:space="0" w:color="C0C0C0"/>
              <w:right w:val="single" w:sz="4" w:space="0" w:color="000080"/>
            </w:tcBorders>
            <w:shd w:val="clear" w:color="auto" w:fill="auto"/>
            <w:noWrap/>
            <w:vAlign w:val="center"/>
            <w:hideMark/>
          </w:tcPr>
          <w:p w14:paraId="706A0265"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2.320.433,73</w:t>
            </w:r>
          </w:p>
        </w:tc>
        <w:tc>
          <w:tcPr>
            <w:tcW w:w="1462" w:type="dxa"/>
            <w:tcBorders>
              <w:top w:val="nil"/>
              <w:left w:val="nil"/>
              <w:bottom w:val="single" w:sz="4" w:space="0" w:color="C0C0C0"/>
              <w:right w:val="single" w:sz="4" w:space="0" w:color="000080"/>
            </w:tcBorders>
            <w:shd w:val="clear" w:color="auto" w:fill="auto"/>
            <w:noWrap/>
            <w:vAlign w:val="center"/>
            <w:hideMark/>
          </w:tcPr>
          <w:p w14:paraId="2DEAD4CE"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2.363.472,60</w:t>
            </w:r>
          </w:p>
        </w:tc>
        <w:tc>
          <w:tcPr>
            <w:tcW w:w="967" w:type="dxa"/>
            <w:tcBorders>
              <w:top w:val="nil"/>
              <w:left w:val="nil"/>
              <w:bottom w:val="single" w:sz="4" w:space="0" w:color="C0C0C0"/>
              <w:right w:val="single" w:sz="4" w:space="0" w:color="000000"/>
            </w:tcBorders>
            <w:shd w:val="clear" w:color="auto" w:fill="auto"/>
            <w:noWrap/>
            <w:vAlign w:val="center"/>
            <w:hideMark/>
          </w:tcPr>
          <w:p w14:paraId="24F29CE8"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101,9</w:t>
            </w:r>
          </w:p>
        </w:tc>
      </w:tr>
      <w:tr w:rsidR="00F774AD" w:rsidRPr="00F774AD" w14:paraId="2B2DCAF3"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0F2A0811" w14:textId="77777777" w:rsidR="00F774AD" w:rsidRPr="00F774AD" w:rsidRDefault="00F774AD" w:rsidP="00F774AD">
            <w:pPr>
              <w:rPr>
                <w:rFonts w:ascii="Arial" w:hAnsi="Arial" w:cs="Arial"/>
                <w:sz w:val="18"/>
                <w:szCs w:val="18"/>
              </w:rPr>
            </w:pPr>
            <w:r w:rsidRPr="00F774AD">
              <w:rPr>
                <w:rFonts w:ascii="Arial" w:hAnsi="Arial" w:cs="Arial"/>
                <w:sz w:val="18"/>
                <w:szCs w:val="18"/>
              </w:rPr>
              <w:t>232</w:t>
            </w:r>
          </w:p>
        </w:tc>
        <w:tc>
          <w:tcPr>
            <w:tcW w:w="8766" w:type="dxa"/>
            <w:tcBorders>
              <w:top w:val="nil"/>
              <w:left w:val="nil"/>
              <w:bottom w:val="single" w:sz="4" w:space="0" w:color="C0C0C0"/>
              <w:right w:val="single" w:sz="4" w:space="0" w:color="000080"/>
            </w:tcBorders>
            <w:shd w:val="clear" w:color="auto" w:fill="auto"/>
            <w:vAlign w:val="center"/>
            <w:hideMark/>
          </w:tcPr>
          <w:p w14:paraId="5A843D01" w14:textId="77777777" w:rsidR="00F774AD" w:rsidRPr="00F774AD" w:rsidRDefault="00F774AD" w:rsidP="00F774AD">
            <w:pPr>
              <w:rPr>
                <w:rFonts w:ascii="Arial" w:hAnsi="Arial" w:cs="Arial"/>
                <w:sz w:val="18"/>
                <w:szCs w:val="18"/>
              </w:rPr>
            </w:pPr>
            <w:r w:rsidRPr="00F774AD">
              <w:rPr>
                <w:rFonts w:ascii="Arial" w:hAnsi="Arial" w:cs="Arial"/>
                <w:sz w:val="18"/>
                <w:szCs w:val="18"/>
              </w:rPr>
              <w:t>Obveze za materijalne rashode</w:t>
            </w:r>
          </w:p>
        </w:tc>
        <w:tc>
          <w:tcPr>
            <w:tcW w:w="717" w:type="dxa"/>
            <w:tcBorders>
              <w:top w:val="nil"/>
              <w:left w:val="nil"/>
              <w:bottom w:val="single" w:sz="4" w:space="0" w:color="C0C0C0"/>
              <w:right w:val="single" w:sz="4" w:space="0" w:color="000080"/>
            </w:tcBorders>
            <w:shd w:val="clear" w:color="auto" w:fill="auto"/>
            <w:vAlign w:val="center"/>
            <w:hideMark/>
          </w:tcPr>
          <w:p w14:paraId="1E253E7C"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232</w:t>
            </w:r>
          </w:p>
        </w:tc>
        <w:tc>
          <w:tcPr>
            <w:tcW w:w="1481" w:type="dxa"/>
            <w:tcBorders>
              <w:top w:val="nil"/>
              <w:left w:val="nil"/>
              <w:bottom w:val="single" w:sz="4" w:space="0" w:color="C0C0C0"/>
              <w:right w:val="single" w:sz="4" w:space="0" w:color="000080"/>
            </w:tcBorders>
            <w:shd w:val="clear" w:color="auto" w:fill="auto"/>
            <w:noWrap/>
            <w:vAlign w:val="center"/>
            <w:hideMark/>
          </w:tcPr>
          <w:p w14:paraId="15DADCD6"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312.696,93</w:t>
            </w:r>
          </w:p>
        </w:tc>
        <w:tc>
          <w:tcPr>
            <w:tcW w:w="1462" w:type="dxa"/>
            <w:tcBorders>
              <w:top w:val="nil"/>
              <w:left w:val="nil"/>
              <w:bottom w:val="single" w:sz="4" w:space="0" w:color="C0C0C0"/>
              <w:right w:val="single" w:sz="4" w:space="0" w:color="000080"/>
            </w:tcBorders>
            <w:shd w:val="clear" w:color="auto" w:fill="auto"/>
            <w:noWrap/>
            <w:vAlign w:val="center"/>
            <w:hideMark/>
          </w:tcPr>
          <w:p w14:paraId="0856C3A7"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514.653,10</w:t>
            </w:r>
          </w:p>
        </w:tc>
        <w:tc>
          <w:tcPr>
            <w:tcW w:w="967" w:type="dxa"/>
            <w:tcBorders>
              <w:top w:val="nil"/>
              <w:left w:val="nil"/>
              <w:bottom w:val="single" w:sz="4" w:space="0" w:color="C0C0C0"/>
              <w:right w:val="single" w:sz="4" w:space="0" w:color="000000"/>
            </w:tcBorders>
            <w:shd w:val="clear" w:color="auto" w:fill="auto"/>
            <w:noWrap/>
            <w:vAlign w:val="center"/>
            <w:hideMark/>
          </w:tcPr>
          <w:p w14:paraId="039CA335"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164,6</w:t>
            </w:r>
          </w:p>
        </w:tc>
      </w:tr>
      <w:tr w:rsidR="00F774AD" w:rsidRPr="00F774AD" w14:paraId="1C910403"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16CF8394" w14:textId="77777777" w:rsidR="00F774AD" w:rsidRPr="00F774AD" w:rsidRDefault="00F774AD" w:rsidP="00F774AD">
            <w:pPr>
              <w:rPr>
                <w:rFonts w:ascii="Arial" w:hAnsi="Arial" w:cs="Arial"/>
                <w:sz w:val="18"/>
                <w:szCs w:val="18"/>
              </w:rPr>
            </w:pPr>
            <w:r w:rsidRPr="00F774AD">
              <w:rPr>
                <w:rFonts w:ascii="Arial" w:hAnsi="Arial" w:cs="Arial"/>
                <w:sz w:val="18"/>
                <w:szCs w:val="18"/>
              </w:rPr>
              <w:t>234</w:t>
            </w:r>
          </w:p>
        </w:tc>
        <w:tc>
          <w:tcPr>
            <w:tcW w:w="8766" w:type="dxa"/>
            <w:tcBorders>
              <w:top w:val="nil"/>
              <w:left w:val="nil"/>
              <w:bottom w:val="single" w:sz="4" w:space="0" w:color="C0C0C0"/>
              <w:right w:val="single" w:sz="4" w:space="0" w:color="000080"/>
            </w:tcBorders>
            <w:shd w:val="clear" w:color="auto" w:fill="auto"/>
            <w:vAlign w:val="center"/>
            <w:hideMark/>
          </w:tcPr>
          <w:p w14:paraId="31F77A31" w14:textId="77777777" w:rsidR="00F774AD" w:rsidRPr="00F774AD" w:rsidRDefault="00F774AD" w:rsidP="00F774AD">
            <w:pPr>
              <w:rPr>
                <w:rFonts w:ascii="Arial" w:hAnsi="Arial" w:cs="Arial"/>
                <w:sz w:val="18"/>
                <w:szCs w:val="18"/>
              </w:rPr>
            </w:pPr>
            <w:r w:rsidRPr="00F774AD">
              <w:rPr>
                <w:rFonts w:ascii="Arial" w:hAnsi="Arial" w:cs="Arial"/>
                <w:sz w:val="18"/>
                <w:szCs w:val="18"/>
              </w:rPr>
              <w:t>Obveze za financijske rashode (šifre 2341 do 2343)</w:t>
            </w:r>
          </w:p>
        </w:tc>
        <w:tc>
          <w:tcPr>
            <w:tcW w:w="717" w:type="dxa"/>
            <w:tcBorders>
              <w:top w:val="nil"/>
              <w:left w:val="nil"/>
              <w:bottom w:val="single" w:sz="4" w:space="0" w:color="C0C0C0"/>
              <w:right w:val="single" w:sz="4" w:space="0" w:color="000080"/>
            </w:tcBorders>
            <w:shd w:val="clear" w:color="auto" w:fill="auto"/>
            <w:vAlign w:val="center"/>
            <w:hideMark/>
          </w:tcPr>
          <w:p w14:paraId="7E1770D4"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234</w:t>
            </w:r>
          </w:p>
        </w:tc>
        <w:tc>
          <w:tcPr>
            <w:tcW w:w="1481" w:type="dxa"/>
            <w:tcBorders>
              <w:top w:val="nil"/>
              <w:left w:val="nil"/>
              <w:bottom w:val="single" w:sz="4" w:space="0" w:color="C0C0C0"/>
              <w:right w:val="single" w:sz="4" w:space="0" w:color="000080"/>
            </w:tcBorders>
            <w:shd w:val="clear" w:color="auto" w:fill="auto"/>
            <w:noWrap/>
            <w:vAlign w:val="center"/>
            <w:hideMark/>
          </w:tcPr>
          <w:p w14:paraId="64507CB5"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207,47</w:t>
            </w:r>
          </w:p>
        </w:tc>
        <w:tc>
          <w:tcPr>
            <w:tcW w:w="1462" w:type="dxa"/>
            <w:tcBorders>
              <w:top w:val="nil"/>
              <w:left w:val="nil"/>
              <w:bottom w:val="single" w:sz="4" w:space="0" w:color="C0C0C0"/>
              <w:right w:val="single" w:sz="4" w:space="0" w:color="000080"/>
            </w:tcBorders>
            <w:shd w:val="clear" w:color="auto" w:fill="auto"/>
            <w:noWrap/>
            <w:vAlign w:val="center"/>
            <w:hideMark/>
          </w:tcPr>
          <w:p w14:paraId="7ECD2A28"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210,85</w:t>
            </w:r>
          </w:p>
        </w:tc>
        <w:tc>
          <w:tcPr>
            <w:tcW w:w="967" w:type="dxa"/>
            <w:tcBorders>
              <w:top w:val="nil"/>
              <w:left w:val="nil"/>
              <w:bottom w:val="single" w:sz="4" w:space="0" w:color="C0C0C0"/>
              <w:right w:val="single" w:sz="4" w:space="0" w:color="000000"/>
            </w:tcBorders>
            <w:shd w:val="clear" w:color="auto" w:fill="auto"/>
            <w:noWrap/>
            <w:vAlign w:val="center"/>
            <w:hideMark/>
          </w:tcPr>
          <w:p w14:paraId="1FD72AC8"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101,6</w:t>
            </w:r>
          </w:p>
        </w:tc>
      </w:tr>
      <w:tr w:rsidR="00F774AD" w:rsidRPr="00F774AD" w14:paraId="201A8B4B"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11998615" w14:textId="77777777" w:rsidR="00F774AD" w:rsidRPr="00F774AD" w:rsidRDefault="00F774AD" w:rsidP="00F774AD">
            <w:pPr>
              <w:rPr>
                <w:rFonts w:ascii="Arial" w:hAnsi="Arial" w:cs="Arial"/>
                <w:sz w:val="18"/>
                <w:szCs w:val="18"/>
              </w:rPr>
            </w:pPr>
            <w:r w:rsidRPr="00F774AD">
              <w:rPr>
                <w:rFonts w:ascii="Arial" w:hAnsi="Arial" w:cs="Arial"/>
                <w:sz w:val="18"/>
                <w:szCs w:val="18"/>
              </w:rPr>
              <w:t>2343</w:t>
            </w:r>
          </w:p>
        </w:tc>
        <w:tc>
          <w:tcPr>
            <w:tcW w:w="8766" w:type="dxa"/>
            <w:tcBorders>
              <w:top w:val="nil"/>
              <w:left w:val="nil"/>
              <w:bottom w:val="single" w:sz="4" w:space="0" w:color="C0C0C0"/>
              <w:right w:val="single" w:sz="4" w:space="0" w:color="000080"/>
            </w:tcBorders>
            <w:shd w:val="clear" w:color="auto" w:fill="auto"/>
            <w:vAlign w:val="center"/>
            <w:hideMark/>
          </w:tcPr>
          <w:p w14:paraId="49B97DE3" w14:textId="77777777" w:rsidR="00F774AD" w:rsidRPr="00F774AD" w:rsidRDefault="00F774AD" w:rsidP="00F774AD">
            <w:pPr>
              <w:rPr>
                <w:rFonts w:ascii="Arial" w:hAnsi="Arial" w:cs="Arial"/>
                <w:sz w:val="18"/>
                <w:szCs w:val="18"/>
              </w:rPr>
            </w:pPr>
            <w:r w:rsidRPr="00F774AD">
              <w:rPr>
                <w:rFonts w:ascii="Arial" w:hAnsi="Arial" w:cs="Arial"/>
                <w:sz w:val="18"/>
                <w:szCs w:val="18"/>
              </w:rPr>
              <w:t>Obveze za ostale financijske rashode</w:t>
            </w:r>
          </w:p>
        </w:tc>
        <w:tc>
          <w:tcPr>
            <w:tcW w:w="717" w:type="dxa"/>
            <w:tcBorders>
              <w:top w:val="nil"/>
              <w:left w:val="nil"/>
              <w:bottom w:val="single" w:sz="4" w:space="0" w:color="C0C0C0"/>
              <w:right w:val="single" w:sz="4" w:space="0" w:color="000080"/>
            </w:tcBorders>
            <w:shd w:val="clear" w:color="auto" w:fill="auto"/>
            <w:vAlign w:val="center"/>
            <w:hideMark/>
          </w:tcPr>
          <w:p w14:paraId="6C1F5863"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2343</w:t>
            </w:r>
          </w:p>
        </w:tc>
        <w:tc>
          <w:tcPr>
            <w:tcW w:w="1481" w:type="dxa"/>
            <w:tcBorders>
              <w:top w:val="nil"/>
              <w:left w:val="nil"/>
              <w:bottom w:val="single" w:sz="4" w:space="0" w:color="C0C0C0"/>
              <w:right w:val="single" w:sz="4" w:space="0" w:color="000080"/>
            </w:tcBorders>
            <w:shd w:val="clear" w:color="auto" w:fill="auto"/>
            <w:noWrap/>
            <w:vAlign w:val="center"/>
            <w:hideMark/>
          </w:tcPr>
          <w:p w14:paraId="098EAF86"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207,47</w:t>
            </w:r>
          </w:p>
        </w:tc>
        <w:tc>
          <w:tcPr>
            <w:tcW w:w="1462" w:type="dxa"/>
            <w:tcBorders>
              <w:top w:val="nil"/>
              <w:left w:val="nil"/>
              <w:bottom w:val="single" w:sz="4" w:space="0" w:color="C0C0C0"/>
              <w:right w:val="single" w:sz="4" w:space="0" w:color="000080"/>
            </w:tcBorders>
            <w:shd w:val="clear" w:color="auto" w:fill="auto"/>
            <w:noWrap/>
            <w:vAlign w:val="center"/>
            <w:hideMark/>
          </w:tcPr>
          <w:p w14:paraId="41F06E56"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210,85</w:t>
            </w:r>
          </w:p>
        </w:tc>
        <w:tc>
          <w:tcPr>
            <w:tcW w:w="967" w:type="dxa"/>
            <w:tcBorders>
              <w:top w:val="nil"/>
              <w:left w:val="nil"/>
              <w:bottom w:val="single" w:sz="4" w:space="0" w:color="C0C0C0"/>
              <w:right w:val="single" w:sz="4" w:space="0" w:color="000000"/>
            </w:tcBorders>
            <w:shd w:val="clear" w:color="auto" w:fill="auto"/>
            <w:noWrap/>
            <w:vAlign w:val="center"/>
            <w:hideMark/>
          </w:tcPr>
          <w:p w14:paraId="3FC5BE19"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101,6</w:t>
            </w:r>
          </w:p>
        </w:tc>
      </w:tr>
      <w:tr w:rsidR="00F774AD" w:rsidRPr="00F774AD" w14:paraId="11657ACE"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355E774A" w14:textId="77777777" w:rsidR="00F774AD" w:rsidRPr="00F774AD" w:rsidRDefault="00F774AD" w:rsidP="00F774AD">
            <w:pPr>
              <w:rPr>
                <w:rFonts w:ascii="Arial" w:hAnsi="Arial" w:cs="Arial"/>
                <w:sz w:val="18"/>
                <w:szCs w:val="18"/>
              </w:rPr>
            </w:pPr>
            <w:r w:rsidRPr="00F774AD">
              <w:rPr>
                <w:rFonts w:ascii="Arial" w:hAnsi="Arial" w:cs="Arial"/>
                <w:sz w:val="18"/>
                <w:szCs w:val="18"/>
              </w:rPr>
              <w:t>235</w:t>
            </w:r>
          </w:p>
        </w:tc>
        <w:tc>
          <w:tcPr>
            <w:tcW w:w="8766" w:type="dxa"/>
            <w:tcBorders>
              <w:top w:val="nil"/>
              <w:left w:val="nil"/>
              <w:bottom w:val="single" w:sz="4" w:space="0" w:color="C0C0C0"/>
              <w:right w:val="single" w:sz="4" w:space="0" w:color="000080"/>
            </w:tcBorders>
            <w:shd w:val="clear" w:color="auto" w:fill="auto"/>
            <w:vAlign w:val="center"/>
            <w:hideMark/>
          </w:tcPr>
          <w:p w14:paraId="041330D2" w14:textId="77777777" w:rsidR="00F774AD" w:rsidRPr="00F774AD" w:rsidRDefault="00F774AD" w:rsidP="00F774AD">
            <w:pPr>
              <w:rPr>
                <w:rFonts w:ascii="Arial" w:hAnsi="Arial" w:cs="Arial"/>
                <w:sz w:val="18"/>
                <w:szCs w:val="18"/>
              </w:rPr>
            </w:pPr>
            <w:r w:rsidRPr="00F774AD">
              <w:rPr>
                <w:rFonts w:ascii="Arial" w:hAnsi="Arial" w:cs="Arial"/>
                <w:sz w:val="18"/>
                <w:szCs w:val="18"/>
              </w:rPr>
              <w:t>Obveze za subvencije</w:t>
            </w:r>
          </w:p>
        </w:tc>
        <w:tc>
          <w:tcPr>
            <w:tcW w:w="717" w:type="dxa"/>
            <w:tcBorders>
              <w:top w:val="nil"/>
              <w:left w:val="nil"/>
              <w:bottom w:val="single" w:sz="4" w:space="0" w:color="C0C0C0"/>
              <w:right w:val="single" w:sz="4" w:space="0" w:color="000080"/>
            </w:tcBorders>
            <w:shd w:val="clear" w:color="auto" w:fill="auto"/>
            <w:vAlign w:val="center"/>
            <w:hideMark/>
          </w:tcPr>
          <w:p w14:paraId="6F44A115"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235</w:t>
            </w:r>
          </w:p>
        </w:tc>
        <w:tc>
          <w:tcPr>
            <w:tcW w:w="1481" w:type="dxa"/>
            <w:tcBorders>
              <w:top w:val="nil"/>
              <w:left w:val="nil"/>
              <w:bottom w:val="single" w:sz="4" w:space="0" w:color="C0C0C0"/>
              <w:right w:val="single" w:sz="4" w:space="0" w:color="000080"/>
            </w:tcBorders>
            <w:shd w:val="clear" w:color="auto" w:fill="auto"/>
            <w:noWrap/>
            <w:vAlign w:val="center"/>
            <w:hideMark/>
          </w:tcPr>
          <w:p w14:paraId="36E496B2"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2.569.406,00</w:t>
            </w:r>
          </w:p>
        </w:tc>
        <w:tc>
          <w:tcPr>
            <w:tcW w:w="1462" w:type="dxa"/>
            <w:tcBorders>
              <w:top w:val="nil"/>
              <w:left w:val="nil"/>
              <w:bottom w:val="single" w:sz="4" w:space="0" w:color="C0C0C0"/>
              <w:right w:val="single" w:sz="4" w:space="0" w:color="000080"/>
            </w:tcBorders>
            <w:shd w:val="clear" w:color="auto" w:fill="auto"/>
            <w:noWrap/>
            <w:vAlign w:val="center"/>
            <w:hideMark/>
          </w:tcPr>
          <w:p w14:paraId="7A75EC13"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 </w:t>
            </w:r>
          </w:p>
        </w:tc>
        <w:tc>
          <w:tcPr>
            <w:tcW w:w="967" w:type="dxa"/>
            <w:tcBorders>
              <w:top w:val="nil"/>
              <w:left w:val="nil"/>
              <w:bottom w:val="single" w:sz="4" w:space="0" w:color="C0C0C0"/>
              <w:right w:val="single" w:sz="4" w:space="0" w:color="000000"/>
            </w:tcBorders>
            <w:shd w:val="clear" w:color="auto" w:fill="auto"/>
            <w:noWrap/>
            <w:vAlign w:val="center"/>
            <w:hideMark/>
          </w:tcPr>
          <w:p w14:paraId="18EE84B3"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0,0</w:t>
            </w:r>
          </w:p>
        </w:tc>
      </w:tr>
      <w:tr w:rsidR="00F774AD" w:rsidRPr="00F774AD" w14:paraId="536DAD5E" w14:textId="77777777" w:rsidTr="00F774AD">
        <w:trPr>
          <w:trHeight w:val="240"/>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4C32EB8B" w14:textId="77777777" w:rsidR="00F774AD" w:rsidRPr="00F774AD" w:rsidRDefault="00F774AD" w:rsidP="00F774AD">
            <w:pPr>
              <w:rPr>
                <w:rFonts w:ascii="Arial" w:hAnsi="Arial" w:cs="Arial"/>
                <w:sz w:val="18"/>
                <w:szCs w:val="18"/>
              </w:rPr>
            </w:pPr>
            <w:r w:rsidRPr="00F774AD">
              <w:rPr>
                <w:rFonts w:ascii="Arial" w:hAnsi="Arial" w:cs="Arial"/>
                <w:sz w:val="18"/>
                <w:szCs w:val="18"/>
              </w:rPr>
              <w:t>2361</w:t>
            </w:r>
          </w:p>
        </w:tc>
        <w:tc>
          <w:tcPr>
            <w:tcW w:w="8766" w:type="dxa"/>
            <w:tcBorders>
              <w:top w:val="nil"/>
              <w:left w:val="nil"/>
              <w:bottom w:val="single" w:sz="4" w:space="0" w:color="C0C0C0"/>
              <w:right w:val="single" w:sz="4" w:space="0" w:color="000080"/>
            </w:tcBorders>
            <w:shd w:val="clear" w:color="auto" w:fill="auto"/>
            <w:vAlign w:val="center"/>
            <w:hideMark/>
          </w:tcPr>
          <w:p w14:paraId="5882FFEC" w14:textId="77777777" w:rsidR="00F774AD" w:rsidRPr="00F774AD" w:rsidRDefault="00F774AD" w:rsidP="00F774AD">
            <w:pPr>
              <w:rPr>
                <w:rFonts w:ascii="Arial" w:hAnsi="Arial" w:cs="Arial"/>
                <w:sz w:val="18"/>
                <w:szCs w:val="18"/>
              </w:rPr>
            </w:pPr>
            <w:r w:rsidRPr="00F774AD">
              <w:rPr>
                <w:rFonts w:ascii="Arial" w:hAnsi="Arial" w:cs="Arial"/>
                <w:sz w:val="18"/>
                <w:szCs w:val="18"/>
              </w:rPr>
              <w:t xml:space="preserve">Obveze za pomoći inozemnim vladama </w:t>
            </w:r>
          </w:p>
        </w:tc>
        <w:tc>
          <w:tcPr>
            <w:tcW w:w="717" w:type="dxa"/>
            <w:tcBorders>
              <w:top w:val="nil"/>
              <w:left w:val="nil"/>
              <w:bottom w:val="single" w:sz="4" w:space="0" w:color="C0C0C0"/>
              <w:right w:val="single" w:sz="4" w:space="0" w:color="000080"/>
            </w:tcBorders>
            <w:shd w:val="clear" w:color="auto" w:fill="auto"/>
            <w:vAlign w:val="center"/>
            <w:hideMark/>
          </w:tcPr>
          <w:p w14:paraId="34A0E510"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2361</w:t>
            </w:r>
          </w:p>
        </w:tc>
        <w:tc>
          <w:tcPr>
            <w:tcW w:w="1481" w:type="dxa"/>
            <w:tcBorders>
              <w:top w:val="nil"/>
              <w:left w:val="nil"/>
              <w:bottom w:val="single" w:sz="4" w:space="0" w:color="C0C0C0"/>
              <w:right w:val="single" w:sz="4" w:space="0" w:color="000080"/>
            </w:tcBorders>
            <w:shd w:val="clear" w:color="auto" w:fill="auto"/>
            <w:noWrap/>
            <w:vAlign w:val="center"/>
            <w:hideMark/>
          </w:tcPr>
          <w:p w14:paraId="1B8078F9"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 </w:t>
            </w:r>
          </w:p>
        </w:tc>
        <w:tc>
          <w:tcPr>
            <w:tcW w:w="1462" w:type="dxa"/>
            <w:tcBorders>
              <w:top w:val="nil"/>
              <w:left w:val="nil"/>
              <w:bottom w:val="single" w:sz="4" w:space="0" w:color="C0C0C0"/>
              <w:right w:val="single" w:sz="4" w:space="0" w:color="000080"/>
            </w:tcBorders>
            <w:shd w:val="clear" w:color="auto" w:fill="auto"/>
            <w:noWrap/>
            <w:vAlign w:val="center"/>
            <w:hideMark/>
          </w:tcPr>
          <w:p w14:paraId="2AAD99FC"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 </w:t>
            </w:r>
          </w:p>
        </w:tc>
        <w:tc>
          <w:tcPr>
            <w:tcW w:w="967" w:type="dxa"/>
            <w:tcBorders>
              <w:top w:val="nil"/>
              <w:left w:val="nil"/>
              <w:bottom w:val="single" w:sz="4" w:space="0" w:color="C0C0C0"/>
              <w:right w:val="single" w:sz="4" w:space="0" w:color="000000"/>
            </w:tcBorders>
            <w:shd w:val="clear" w:color="auto" w:fill="auto"/>
            <w:noWrap/>
            <w:vAlign w:val="center"/>
            <w:hideMark/>
          </w:tcPr>
          <w:p w14:paraId="60F934DB"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w:t>
            </w:r>
          </w:p>
        </w:tc>
      </w:tr>
      <w:tr w:rsidR="00F774AD" w:rsidRPr="00F774AD" w14:paraId="22DB8E49"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5BBDF9D7" w14:textId="77777777" w:rsidR="00F774AD" w:rsidRPr="00F774AD" w:rsidRDefault="00F774AD" w:rsidP="00F774AD">
            <w:pPr>
              <w:rPr>
                <w:rFonts w:ascii="Arial" w:hAnsi="Arial" w:cs="Arial"/>
                <w:sz w:val="18"/>
                <w:szCs w:val="18"/>
              </w:rPr>
            </w:pPr>
            <w:r w:rsidRPr="00F774AD">
              <w:rPr>
                <w:rFonts w:ascii="Arial" w:hAnsi="Arial" w:cs="Arial"/>
                <w:sz w:val="18"/>
                <w:szCs w:val="18"/>
              </w:rPr>
              <w:t>237</w:t>
            </w:r>
          </w:p>
        </w:tc>
        <w:tc>
          <w:tcPr>
            <w:tcW w:w="8766" w:type="dxa"/>
            <w:tcBorders>
              <w:top w:val="nil"/>
              <w:left w:val="nil"/>
              <w:bottom w:val="single" w:sz="4" w:space="0" w:color="C0C0C0"/>
              <w:right w:val="single" w:sz="4" w:space="0" w:color="000080"/>
            </w:tcBorders>
            <w:shd w:val="clear" w:color="auto" w:fill="auto"/>
            <w:vAlign w:val="center"/>
            <w:hideMark/>
          </w:tcPr>
          <w:p w14:paraId="22269F60" w14:textId="77777777" w:rsidR="00F774AD" w:rsidRPr="00F774AD" w:rsidRDefault="00F774AD" w:rsidP="00F774AD">
            <w:pPr>
              <w:rPr>
                <w:rFonts w:ascii="Arial" w:hAnsi="Arial" w:cs="Arial"/>
                <w:sz w:val="18"/>
                <w:szCs w:val="18"/>
              </w:rPr>
            </w:pPr>
            <w:r w:rsidRPr="00F774AD">
              <w:rPr>
                <w:rFonts w:ascii="Arial" w:hAnsi="Arial" w:cs="Arial"/>
                <w:sz w:val="18"/>
                <w:szCs w:val="18"/>
              </w:rPr>
              <w:t>Obveze za naknade građanima i kućanstvima</w:t>
            </w:r>
          </w:p>
        </w:tc>
        <w:tc>
          <w:tcPr>
            <w:tcW w:w="717" w:type="dxa"/>
            <w:tcBorders>
              <w:top w:val="nil"/>
              <w:left w:val="nil"/>
              <w:bottom w:val="single" w:sz="4" w:space="0" w:color="C0C0C0"/>
              <w:right w:val="single" w:sz="4" w:space="0" w:color="000080"/>
            </w:tcBorders>
            <w:shd w:val="clear" w:color="auto" w:fill="auto"/>
            <w:vAlign w:val="center"/>
            <w:hideMark/>
          </w:tcPr>
          <w:p w14:paraId="3EBCD96D"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237</w:t>
            </w:r>
          </w:p>
        </w:tc>
        <w:tc>
          <w:tcPr>
            <w:tcW w:w="1481" w:type="dxa"/>
            <w:tcBorders>
              <w:top w:val="nil"/>
              <w:left w:val="nil"/>
              <w:bottom w:val="single" w:sz="4" w:space="0" w:color="C0C0C0"/>
              <w:right w:val="single" w:sz="4" w:space="0" w:color="000080"/>
            </w:tcBorders>
            <w:shd w:val="clear" w:color="auto" w:fill="auto"/>
            <w:noWrap/>
            <w:vAlign w:val="center"/>
            <w:hideMark/>
          </w:tcPr>
          <w:p w14:paraId="6DEE033C"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121.008,95</w:t>
            </w:r>
          </w:p>
        </w:tc>
        <w:tc>
          <w:tcPr>
            <w:tcW w:w="1462" w:type="dxa"/>
            <w:tcBorders>
              <w:top w:val="nil"/>
              <w:left w:val="nil"/>
              <w:bottom w:val="single" w:sz="4" w:space="0" w:color="C0C0C0"/>
              <w:right w:val="single" w:sz="4" w:space="0" w:color="000080"/>
            </w:tcBorders>
            <w:shd w:val="clear" w:color="auto" w:fill="auto"/>
            <w:noWrap/>
            <w:vAlign w:val="center"/>
            <w:hideMark/>
          </w:tcPr>
          <w:p w14:paraId="5EFF106D"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120.085,77</w:t>
            </w:r>
          </w:p>
        </w:tc>
        <w:tc>
          <w:tcPr>
            <w:tcW w:w="967" w:type="dxa"/>
            <w:tcBorders>
              <w:top w:val="nil"/>
              <w:left w:val="nil"/>
              <w:bottom w:val="single" w:sz="4" w:space="0" w:color="C0C0C0"/>
              <w:right w:val="single" w:sz="4" w:space="0" w:color="000000"/>
            </w:tcBorders>
            <w:shd w:val="clear" w:color="auto" w:fill="auto"/>
            <w:noWrap/>
            <w:vAlign w:val="center"/>
            <w:hideMark/>
          </w:tcPr>
          <w:p w14:paraId="7A261AB5"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99,2</w:t>
            </w:r>
          </w:p>
        </w:tc>
      </w:tr>
      <w:tr w:rsidR="00F774AD" w:rsidRPr="00F774AD" w14:paraId="47A728BB"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5BEE5C29" w14:textId="77777777" w:rsidR="00F774AD" w:rsidRPr="00F774AD" w:rsidRDefault="00F774AD" w:rsidP="00F774AD">
            <w:pPr>
              <w:rPr>
                <w:rFonts w:ascii="Arial" w:hAnsi="Arial" w:cs="Arial"/>
                <w:sz w:val="18"/>
                <w:szCs w:val="18"/>
              </w:rPr>
            </w:pPr>
            <w:r w:rsidRPr="00F774AD">
              <w:rPr>
                <w:rFonts w:ascii="Arial" w:hAnsi="Arial" w:cs="Arial"/>
                <w:sz w:val="18"/>
                <w:szCs w:val="18"/>
              </w:rPr>
              <w:t>238</w:t>
            </w:r>
          </w:p>
        </w:tc>
        <w:tc>
          <w:tcPr>
            <w:tcW w:w="8766" w:type="dxa"/>
            <w:tcBorders>
              <w:top w:val="nil"/>
              <w:left w:val="nil"/>
              <w:bottom w:val="single" w:sz="4" w:space="0" w:color="C0C0C0"/>
              <w:right w:val="single" w:sz="4" w:space="0" w:color="000080"/>
            </w:tcBorders>
            <w:shd w:val="clear" w:color="auto" w:fill="auto"/>
            <w:vAlign w:val="center"/>
            <w:hideMark/>
          </w:tcPr>
          <w:p w14:paraId="62528256" w14:textId="77777777" w:rsidR="00F774AD" w:rsidRPr="00F774AD" w:rsidRDefault="00F774AD" w:rsidP="00F774AD">
            <w:pPr>
              <w:rPr>
                <w:rFonts w:ascii="Arial" w:hAnsi="Arial" w:cs="Arial"/>
                <w:sz w:val="18"/>
                <w:szCs w:val="18"/>
              </w:rPr>
            </w:pPr>
            <w:r w:rsidRPr="00F774AD">
              <w:rPr>
                <w:rFonts w:ascii="Arial" w:hAnsi="Arial" w:cs="Arial"/>
                <w:sz w:val="18"/>
                <w:szCs w:val="18"/>
              </w:rPr>
              <w:t>Obveze za donacije, kazne, naknade šteta i kapitalne pomoći</w:t>
            </w:r>
          </w:p>
        </w:tc>
        <w:tc>
          <w:tcPr>
            <w:tcW w:w="717" w:type="dxa"/>
            <w:tcBorders>
              <w:top w:val="nil"/>
              <w:left w:val="nil"/>
              <w:bottom w:val="single" w:sz="4" w:space="0" w:color="C0C0C0"/>
              <w:right w:val="single" w:sz="4" w:space="0" w:color="000080"/>
            </w:tcBorders>
            <w:shd w:val="clear" w:color="auto" w:fill="auto"/>
            <w:vAlign w:val="center"/>
            <w:hideMark/>
          </w:tcPr>
          <w:p w14:paraId="125EF73C"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238</w:t>
            </w:r>
          </w:p>
        </w:tc>
        <w:tc>
          <w:tcPr>
            <w:tcW w:w="1481" w:type="dxa"/>
            <w:tcBorders>
              <w:top w:val="nil"/>
              <w:left w:val="nil"/>
              <w:bottom w:val="single" w:sz="4" w:space="0" w:color="C0C0C0"/>
              <w:right w:val="single" w:sz="4" w:space="0" w:color="000080"/>
            </w:tcBorders>
            <w:shd w:val="clear" w:color="auto" w:fill="auto"/>
            <w:noWrap/>
            <w:vAlign w:val="center"/>
            <w:hideMark/>
          </w:tcPr>
          <w:p w14:paraId="603F720A"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32.080.328,84</w:t>
            </w:r>
          </w:p>
        </w:tc>
        <w:tc>
          <w:tcPr>
            <w:tcW w:w="1462" w:type="dxa"/>
            <w:tcBorders>
              <w:top w:val="nil"/>
              <w:left w:val="nil"/>
              <w:bottom w:val="single" w:sz="4" w:space="0" w:color="C0C0C0"/>
              <w:right w:val="single" w:sz="4" w:space="0" w:color="000080"/>
            </w:tcBorders>
            <w:shd w:val="clear" w:color="auto" w:fill="auto"/>
            <w:noWrap/>
            <w:vAlign w:val="center"/>
            <w:hideMark/>
          </w:tcPr>
          <w:p w14:paraId="7D06E124"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21.462.201,91</w:t>
            </w:r>
          </w:p>
        </w:tc>
        <w:tc>
          <w:tcPr>
            <w:tcW w:w="967" w:type="dxa"/>
            <w:tcBorders>
              <w:top w:val="nil"/>
              <w:left w:val="nil"/>
              <w:bottom w:val="single" w:sz="4" w:space="0" w:color="C0C0C0"/>
              <w:right w:val="single" w:sz="4" w:space="0" w:color="000000"/>
            </w:tcBorders>
            <w:shd w:val="clear" w:color="auto" w:fill="auto"/>
            <w:noWrap/>
            <w:vAlign w:val="center"/>
            <w:hideMark/>
          </w:tcPr>
          <w:p w14:paraId="0BF8176B"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66,9</w:t>
            </w:r>
          </w:p>
        </w:tc>
      </w:tr>
      <w:tr w:rsidR="00F774AD" w:rsidRPr="00F774AD" w14:paraId="452F1C3C"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72D264FF" w14:textId="77777777" w:rsidR="00F774AD" w:rsidRPr="00F774AD" w:rsidRDefault="00F774AD" w:rsidP="00F774AD">
            <w:pPr>
              <w:rPr>
                <w:rFonts w:ascii="Arial" w:hAnsi="Arial" w:cs="Arial"/>
                <w:sz w:val="18"/>
                <w:szCs w:val="18"/>
              </w:rPr>
            </w:pPr>
            <w:r w:rsidRPr="00F774AD">
              <w:rPr>
                <w:rFonts w:ascii="Arial" w:hAnsi="Arial" w:cs="Arial"/>
                <w:sz w:val="18"/>
                <w:szCs w:val="18"/>
              </w:rPr>
              <w:t>239</w:t>
            </w:r>
          </w:p>
        </w:tc>
        <w:tc>
          <w:tcPr>
            <w:tcW w:w="8766" w:type="dxa"/>
            <w:tcBorders>
              <w:top w:val="nil"/>
              <w:left w:val="nil"/>
              <w:bottom w:val="single" w:sz="4" w:space="0" w:color="C0C0C0"/>
              <w:right w:val="single" w:sz="4" w:space="0" w:color="000080"/>
            </w:tcBorders>
            <w:shd w:val="clear" w:color="auto" w:fill="auto"/>
            <w:vAlign w:val="center"/>
            <w:hideMark/>
          </w:tcPr>
          <w:p w14:paraId="0C798D64" w14:textId="77777777" w:rsidR="00F774AD" w:rsidRPr="00F774AD" w:rsidRDefault="00F774AD" w:rsidP="00F774AD">
            <w:pPr>
              <w:rPr>
                <w:rFonts w:ascii="Arial" w:hAnsi="Arial" w:cs="Arial"/>
                <w:sz w:val="18"/>
                <w:szCs w:val="18"/>
              </w:rPr>
            </w:pPr>
            <w:r w:rsidRPr="00F774AD">
              <w:rPr>
                <w:rFonts w:ascii="Arial" w:hAnsi="Arial" w:cs="Arial"/>
                <w:sz w:val="18"/>
                <w:szCs w:val="18"/>
              </w:rPr>
              <w:t>Ostale tekuće obveze</w:t>
            </w:r>
          </w:p>
        </w:tc>
        <w:tc>
          <w:tcPr>
            <w:tcW w:w="717" w:type="dxa"/>
            <w:tcBorders>
              <w:top w:val="nil"/>
              <w:left w:val="nil"/>
              <w:bottom w:val="single" w:sz="4" w:space="0" w:color="C0C0C0"/>
              <w:right w:val="single" w:sz="4" w:space="0" w:color="000080"/>
            </w:tcBorders>
            <w:shd w:val="clear" w:color="auto" w:fill="auto"/>
            <w:vAlign w:val="center"/>
            <w:hideMark/>
          </w:tcPr>
          <w:p w14:paraId="2E31E775"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239</w:t>
            </w:r>
          </w:p>
        </w:tc>
        <w:tc>
          <w:tcPr>
            <w:tcW w:w="1481" w:type="dxa"/>
            <w:tcBorders>
              <w:top w:val="nil"/>
              <w:left w:val="nil"/>
              <w:bottom w:val="single" w:sz="4" w:space="0" w:color="C0C0C0"/>
              <w:right w:val="single" w:sz="4" w:space="0" w:color="000080"/>
            </w:tcBorders>
            <w:shd w:val="clear" w:color="auto" w:fill="auto"/>
            <w:noWrap/>
            <w:vAlign w:val="center"/>
            <w:hideMark/>
          </w:tcPr>
          <w:p w14:paraId="4B893AD6"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21.137.629,32</w:t>
            </w:r>
          </w:p>
        </w:tc>
        <w:tc>
          <w:tcPr>
            <w:tcW w:w="1462" w:type="dxa"/>
            <w:tcBorders>
              <w:top w:val="nil"/>
              <w:left w:val="nil"/>
              <w:bottom w:val="single" w:sz="4" w:space="0" w:color="C0C0C0"/>
              <w:right w:val="single" w:sz="4" w:space="0" w:color="000080"/>
            </w:tcBorders>
            <w:shd w:val="clear" w:color="auto" w:fill="auto"/>
            <w:noWrap/>
            <w:vAlign w:val="center"/>
            <w:hideMark/>
          </w:tcPr>
          <w:p w14:paraId="6AA2FA95"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 </w:t>
            </w:r>
          </w:p>
        </w:tc>
        <w:tc>
          <w:tcPr>
            <w:tcW w:w="967" w:type="dxa"/>
            <w:tcBorders>
              <w:top w:val="nil"/>
              <w:left w:val="nil"/>
              <w:bottom w:val="single" w:sz="4" w:space="0" w:color="C0C0C0"/>
              <w:right w:val="single" w:sz="4" w:space="0" w:color="000000"/>
            </w:tcBorders>
            <w:shd w:val="clear" w:color="auto" w:fill="auto"/>
            <w:noWrap/>
            <w:vAlign w:val="center"/>
            <w:hideMark/>
          </w:tcPr>
          <w:p w14:paraId="097413FA"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0,0</w:t>
            </w:r>
          </w:p>
        </w:tc>
      </w:tr>
      <w:tr w:rsidR="00F774AD" w:rsidRPr="00F774AD" w14:paraId="2E13AB6A"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3B5B0F66" w14:textId="77777777" w:rsidR="00F774AD" w:rsidRPr="00F774AD" w:rsidRDefault="00F774AD" w:rsidP="00F774AD">
            <w:pPr>
              <w:rPr>
                <w:rFonts w:ascii="Arial" w:hAnsi="Arial" w:cs="Arial"/>
                <w:sz w:val="18"/>
                <w:szCs w:val="18"/>
              </w:rPr>
            </w:pPr>
            <w:r w:rsidRPr="00F774AD">
              <w:rPr>
                <w:rFonts w:ascii="Arial" w:hAnsi="Arial" w:cs="Arial"/>
                <w:sz w:val="18"/>
                <w:szCs w:val="18"/>
              </w:rPr>
              <w:t>24</w:t>
            </w:r>
          </w:p>
        </w:tc>
        <w:tc>
          <w:tcPr>
            <w:tcW w:w="8766" w:type="dxa"/>
            <w:tcBorders>
              <w:top w:val="nil"/>
              <w:left w:val="nil"/>
              <w:bottom w:val="single" w:sz="4" w:space="0" w:color="C0C0C0"/>
              <w:right w:val="single" w:sz="4" w:space="0" w:color="000080"/>
            </w:tcBorders>
            <w:shd w:val="clear" w:color="auto" w:fill="auto"/>
            <w:vAlign w:val="center"/>
            <w:hideMark/>
          </w:tcPr>
          <w:p w14:paraId="2F6AA195" w14:textId="77777777" w:rsidR="00F774AD" w:rsidRPr="00F774AD" w:rsidRDefault="00F774AD" w:rsidP="00F774AD">
            <w:pPr>
              <w:rPr>
                <w:rFonts w:ascii="Arial" w:hAnsi="Arial" w:cs="Arial"/>
                <w:sz w:val="18"/>
                <w:szCs w:val="18"/>
              </w:rPr>
            </w:pPr>
            <w:r w:rsidRPr="00F774AD">
              <w:rPr>
                <w:rFonts w:ascii="Arial" w:hAnsi="Arial" w:cs="Arial"/>
                <w:sz w:val="18"/>
                <w:szCs w:val="18"/>
              </w:rPr>
              <w:t>Obveze za nabavu nefinancijske imovine (šifre 241 do 245)</w:t>
            </w:r>
          </w:p>
        </w:tc>
        <w:tc>
          <w:tcPr>
            <w:tcW w:w="717" w:type="dxa"/>
            <w:tcBorders>
              <w:top w:val="nil"/>
              <w:left w:val="nil"/>
              <w:bottom w:val="single" w:sz="4" w:space="0" w:color="C0C0C0"/>
              <w:right w:val="single" w:sz="4" w:space="0" w:color="000080"/>
            </w:tcBorders>
            <w:shd w:val="clear" w:color="auto" w:fill="auto"/>
            <w:vAlign w:val="center"/>
            <w:hideMark/>
          </w:tcPr>
          <w:p w14:paraId="28C5AFB1"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24</w:t>
            </w:r>
          </w:p>
        </w:tc>
        <w:tc>
          <w:tcPr>
            <w:tcW w:w="1481" w:type="dxa"/>
            <w:tcBorders>
              <w:top w:val="nil"/>
              <w:left w:val="nil"/>
              <w:bottom w:val="single" w:sz="4" w:space="0" w:color="C0C0C0"/>
              <w:right w:val="single" w:sz="4" w:space="0" w:color="000080"/>
            </w:tcBorders>
            <w:shd w:val="clear" w:color="auto" w:fill="auto"/>
            <w:noWrap/>
            <w:vAlign w:val="center"/>
            <w:hideMark/>
          </w:tcPr>
          <w:p w14:paraId="42F1D59E"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12.165,00</w:t>
            </w:r>
          </w:p>
        </w:tc>
        <w:tc>
          <w:tcPr>
            <w:tcW w:w="1462" w:type="dxa"/>
            <w:tcBorders>
              <w:top w:val="nil"/>
              <w:left w:val="nil"/>
              <w:bottom w:val="single" w:sz="4" w:space="0" w:color="C0C0C0"/>
              <w:right w:val="single" w:sz="4" w:space="0" w:color="000080"/>
            </w:tcBorders>
            <w:shd w:val="clear" w:color="auto" w:fill="auto"/>
            <w:noWrap/>
            <w:vAlign w:val="center"/>
            <w:hideMark/>
          </w:tcPr>
          <w:p w14:paraId="529CF0B4"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3.873.323,19</w:t>
            </w:r>
          </w:p>
        </w:tc>
        <w:tc>
          <w:tcPr>
            <w:tcW w:w="967" w:type="dxa"/>
            <w:tcBorders>
              <w:top w:val="nil"/>
              <w:left w:val="nil"/>
              <w:bottom w:val="single" w:sz="4" w:space="0" w:color="C0C0C0"/>
              <w:right w:val="single" w:sz="4" w:space="0" w:color="000000"/>
            </w:tcBorders>
            <w:shd w:val="clear" w:color="auto" w:fill="auto"/>
            <w:noWrap/>
            <w:vAlign w:val="center"/>
            <w:hideMark/>
          </w:tcPr>
          <w:p w14:paraId="69CB0F37"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&gt;&gt;100</w:t>
            </w:r>
          </w:p>
        </w:tc>
      </w:tr>
      <w:tr w:rsidR="00F774AD" w:rsidRPr="00F774AD" w14:paraId="43508463"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43A3D3B4" w14:textId="77777777" w:rsidR="00F774AD" w:rsidRPr="00F774AD" w:rsidRDefault="00F774AD" w:rsidP="00F774AD">
            <w:pPr>
              <w:rPr>
                <w:rFonts w:ascii="Arial" w:hAnsi="Arial" w:cs="Arial"/>
                <w:sz w:val="18"/>
                <w:szCs w:val="18"/>
              </w:rPr>
            </w:pPr>
            <w:r w:rsidRPr="00F774AD">
              <w:rPr>
                <w:rFonts w:ascii="Arial" w:hAnsi="Arial" w:cs="Arial"/>
                <w:sz w:val="18"/>
                <w:szCs w:val="18"/>
              </w:rPr>
              <w:t>241</w:t>
            </w:r>
          </w:p>
        </w:tc>
        <w:tc>
          <w:tcPr>
            <w:tcW w:w="8766" w:type="dxa"/>
            <w:tcBorders>
              <w:top w:val="nil"/>
              <w:left w:val="nil"/>
              <w:bottom w:val="single" w:sz="4" w:space="0" w:color="C0C0C0"/>
              <w:right w:val="single" w:sz="4" w:space="0" w:color="000080"/>
            </w:tcBorders>
            <w:shd w:val="clear" w:color="auto" w:fill="auto"/>
            <w:vAlign w:val="center"/>
            <w:hideMark/>
          </w:tcPr>
          <w:p w14:paraId="7EFD8431" w14:textId="77777777" w:rsidR="00F774AD" w:rsidRPr="00F774AD" w:rsidRDefault="00F774AD" w:rsidP="00F774AD">
            <w:pPr>
              <w:rPr>
                <w:rFonts w:ascii="Arial" w:hAnsi="Arial" w:cs="Arial"/>
                <w:sz w:val="18"/>
                <w:szCs w:val="18"/>
              </w:rPr>
            </w:pPr>
            <w:r w:rsidRPr="00F774AD">
              <w:rPr>
                <w:rFonts w:ascii="Arial" w:hAnsi="Arial" w:cs="Arial"/>
                <w:sz w:val="18"/>
                <w:szCs w:val="18"/>
              </w:rPr>
              <w:t xml:space="preserve">Obveze za nabavu </w:t>
            </w:r>
            <w:proofErr w:type="spellStart"/>
            <w:r w:rsidRPr="00F774AD">
              <w:rPr>
                <w:rFonts w:ascii="Arial" w:hAnsi="Arial" w:cs="Arial"/>
                <w:sz w:val="18"/>
                <w:szCs w:val="18"/>
              </w:rPr>
              <w:t>neproizvedene</w:t>
            </w:r>
            <w:proofErr w:type="spellEnd"/>
            <w:r w:rsidRPr="00F774AD">
              <w:rPr>
                <w:rFonts w:ascii="Arial" w:hAnsi="Arial" w:cs="Arial"/>
                <w:sz w:val="18"/>
                <w:szCs w:val="18"/>
              </w:rPr>
              <w:t xml:space="preserve"> dugotrajne imovine</w:t>
            </w:r>
          </w:p>
        </w:tc>
        <w:tc>
          <w:tcPr>
            <w:tcW w:w="717" w:type="dxa"/>
            <w:tcBorders>
              <w:top w:val="nil"/>
              <w:left w:val="nil"/>
              <w:bottom w:val="single" w:sz="4" w:space="0" w:color="C0C0C0"/>
              <w:right w:val="single" w:sz="4" w:space="0" w:color="000080"/>
            </w:tcBorders>
            <w:shd w:val="clear" w:color="auto" w:fill="auto"/>
            <w:vAlign w:val="center"/>
            <w:hideMark/>
          </w:tcPr>
          <w:p w14:paraId="5EC549E7"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241</w:t>
            </w:r>
          </w:p>
        </w:tc>
        <w:tc>
          <w:tcPr>
            <w:tcW w:w="1481" w:type="dxa"/>
            <w:tcBorders>
              <w:top w:val="nil"/>
              <w:left w:val="nil"/>
              <w:bottom w:val="single" w:sz="4" w:space="0" w:color="C0C0C0"/>
              <w:right w:val="single" w:sz="4" w:space="0" w:color="000080"/>
            </w:tcBorders>
            <w:shd w:val="clear" w:color="auto" w:fill="auto"/>
            <w:noWrap/>
            <w:vAlign w:val="center"/>
            <w:hideMark/>
          </w:tcPr>
          <w:p w14:paraId="51B117BB"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 </w:t>
            </w:r>
          </w:p>
        </w:tc>
        <w:tc>
          <w:tcPr>
            <w:tcW w:w="1462" w:type="dxa"/>
            <w:tcBorders>
              <w:top w:val="nil"/>
              <w:left w:val="nil"/>
              <w:bottom w:val="single" w:sz="4" w:space="0" w:color="C0C0C0"/>
              <w:right w:val="single" w:sz="4" w:space="0" w:color="000080"/>
            </w:tcBorders>
            <w:shd w:val="clear" w:color="auto" w:fill="auto"/>
            <w:noWrap/>
            <w:vAlign w:val="center"/>
            <w:hideMark/>
          </w:tcPr>
          <w:p w14:paraId="11E84198"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128.170,28</w:t>
            </w:r>
          </w:p>
        </w:tc>
        <w:tc>
          <w:tcPr>
            <w:tcW w:w="967" w:type="dxa"/>
            <w:tcBorders>
              <w:top w:val="nil"/>
              <w:left w:val="nil"/>
              <w:bottom w:val="single" w:sz="4" w:space="0" w:color="C0C0C0"/>
              <w:right w:val="single" w:sz="4" w:space="0" w:color="000000"/>
            </w:tcBorders>
            <w:shd w:val="clear" w:color="auto" w:fill="auto"/>
            <w:noWrap/>
            <w:vAlign w:val="center"/>
            <w:hideMark/>
          </w:tcPr>
          <w:p w14:paraId="162923D6"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w:t>
            </w:r>
          </w:p>
        </w:tc>
      </w:tr>
      <w:tr w:rsidR="00F774AD" w:rsidRPr="00F774AD" w14:paraId="2256DEC3"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02F393EC" w14:textId="77777777" w:rsidR="00F774AD" w:rsidRPr="00F774AD" w:rsidRDefault="00F774AD" w:rsidP="00F774AD">
            <w:pPr>
              <w:rPr>
                <w:rFonts w:ascii="Arial" w:hAnsi="Arial" w:cs="Arial"/>
                <w:sz w:val="18"/>
                <w:szCs w:val="18"/>
              </w:rPr>
            </w:pPr>
            <w:r w:rsidRPr="00F774AD">
              <w:rPr>
                <w:rFonts w:ascii="Arial" w:hAnsi="Arial" w:cs="Arial"/>
                <w:sz w:val="18"/>
                <w:szCs w:val="18"/>
              </w:rPr>
              <w:t>242</w:t>
            </w:r>
          </w:p>
        </w:tc>
        <w:tc>
          <w:tcPr>
            <w:tcW w:w="8766" w:type="dxa"/>
            <w:tcBorders>
              <w:top w:val="nil"/>
              <w:left w:val="nil"/>
              <w:bottom w:val="single" w:sz="4" w:space="0" w:color="C0C0C0"/>
              <w:right w:val="single" w:sz="4" w:space="0" w:color="000080"/>
            </w:tcBorders>
            <w:shd w:val="clear" w:color="auto" w:fill="auto"/>
            <w:vAlign w:val="center"/>
            <w:hideMark/>
          </w:tcPr>
          <w:p w14:paraId="557E82ED" w14:textId="77777777" w:rsidR="00F774AD" w:rsidRPr="00F774AD" w:rsidRDefault="00F774AD" w:rsidP="00F774AD">
            <w:pPr>
              <w:rPr>
                <w:rFonts w:ascii="Arial" w:hAnsi="Arial" w:cs="Arial"/>
                <w:sz w:val="18"/>
                <w:szCs w:val="18"/>
              </w:rPr>
            </w:pPr>
            <w:r w:rsidRPr="00F774AD">
              <w:rPr>
                <w:rFonts w:ascii="Arial" w:hAnsi="Arial" w:cs="Arial"/>
                <w:sz w:val="18"/>
                <w:szCs w:val="18"/>
              </w:rPr>
              <w:t>Obveze za nabavu proizvedene dugotrajne imovine</w:t>
            </w:r>
          </w:p>
        </w:tc>
        <w:tc>
          <w:tcPr>
            <w:tcW w:w="717" w:type="dxa"/>
            <w:tcBorders>
              <w:top w:val="nil"/>
              <w:left w:val="nil"/>
              <w:bottom w:val="single" w:sz="4" w:space="0" w:color="C0C0C0"/>
              <w:right w:val="single" w:sz="4" w:space="0" w:color="000080"/>
            </w:tcBorders>
            <w:shd w:val="clear" w:color="auto" w:fill="auto"/>
            <w:vAlign w:val="center"/>
            <w:hideMark/>
          </w:tcPr>
          <w:p w14:paraId="71718ECC"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242</w:t>
            </w:r>
          </w:p>
        </w:tc>
        <w:tc>
          <w:tcPr>
            <w:tcW w:w="1481" w:type="dxa"/>
            <w:tcBorders>
              <w:top w:val="nil"/>
              <w:left w:val="nil"/>
              <w:bottom w:val="single" w:sz="4" w:space="0" w:color="C0C0C0"/>
              <w:right w:val="single" w:sz="4" w:space="0" w:color="000080"/>
            </w:tcBorders>
            <w:shd w:val="clear" w:color="auto" w:fill="auto"/>
            <w:noWrap/>
            <w:vAlign w:val="center"/>
            <w:hideMark/>
          </w:tcPr>
          <w:p w14:paraId="2C800AA4"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12.165,00</w:t>
            </w:r>
          </w:p>
        </w:tc>
        <w:tc>
          <w:tcPr>
            <w:tcW w:w="1462" w:type="dxa"/>
            <w:tcBorders>
              <w:top w:val="nil"/>
              <w:left w:val="nil"/>
              <w:bottom w:val="single" w:sz="4" w:space="0" w:color="C0C0C0"/>
              <w:right w:val="single" w:sz="4" w:space="0" w:color="000080"/>
            </w:tcBorders>
            <w:shd w:val="clear" w:color="auto" w:fill="auto"/>
            <w:noWrap/>
            <w:vAlign w:val="center"/>
            <w:hideMark/>
          </w:tcPr>
          <w:p w14:paraId="47250A06"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3.745.152,91</w:t>
            </w:r>
          </w:p>
        </w:tc>
        <w:tc>
          <w:tcPr>
            <w:tcW w:w="967" w:type="dxa"/>
            <w:tcBorders>
              <w:top w:val="nil"/>
              <w:left w:val="nil"/>
              <w:bottom w:val="single" w:sz="4" w:space="0" w:color="C0C0C0"/>
              <w:right w:val="single" w:sz="4" w:space="0" w:color="000000"/>
            </w:tcBorders>
            <w:shd w:val="clear" w:color="auto" w:fill="auto"/>
            <w:noWrap/>
            <w:vAlign w:val="center"/>
            <w:hideMark/>
          </w:tcPr>
          <w:p w14:paraId="72FE56DA"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&gt;&gt;100</w:t>
            </w:r>
          </w:p>
        </w:tc>
      </w:tr>
      <w:tr w:rsidR="00F774AD" w:rsidRPr="00F774AD" w14:paraId="0C6B24A9"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46997DF3" w14:textId="77777777" w:rsidR="00F774AD" w:rsidRPr="00F774AD" w:rsidRDefault="00F774AD" w:rsidP="00F774AD">
            <w:pPr>
              <w:rPr>
                <w:rFonts w:ascii="Arial" w:hAnsi="Arial" w:cs="Arial"/>
                <w:sz w:val="18"/>
                <w:szCs w:val="18"/>
              </w:rPr>
            </w:pPr>
            <w:r w:rsidRPr="00F774AD">
              <w:rPr>
                <w:rFonts w:ascii="Arial" w:hAnsi="Arial" w:cs="Arial"/>
                <w:sz w:val="18"/>
                <w:szCs w:val="18"/>
              </w:rPr>
              <w:t>27</w:t>
            </w:r>
          </w:p>
        </w:tc>
        <w:tc>
          <w:tcPr>
            <w:tcW w:w="8766" w:type="dxa"/>
            <w:tcBorders>
              <w:top w:val="nil"/>
              <w:left w:val="nil"/>
              <w:bottom w:val="single" w:sz="4" w:space="0" w:color="C0C0C0"/>
              <w:right w:val="single" w:sz="4" w:space="0" w:color="000080"/>
            </w:tcBorders>
            <w:shd w:val="clear" w:color="auto" w:fill="auto"/>
            <w:vAlign w:val="center"/>
            <w:hideMark/>
          </w:tcPr>
          <w:p w14:paraId="0981B331" w14:textId="77777777" w:rsidR="00F774AD" w:rsidRPr="00F774AD" w:rsidRDefault="00F774AD" w:rsidP="00F774AD">
            <w:pPr>
              <w:rPr>
                <w:rFonts w:ascii="Arial" w:hAnsi="Arial" w:cs="Arial"/>
                <w:sz w:val="18"/>
                <w:szCs w:val="18"/>
              </w:rPr>
            </w:pPr>
            <w:r w:rsidRPr="00F774AD">
              <w:rPr>
                <w:rFonts w:ascii="Arial" w:hAnsi="Arial" w:cs="Arial"/>
                <w:sz w:val="18"/>
                <w:szCs w:val="18"/>
              </w:rPr>
              <w:t xml:space="preserve">Obveze za predujmove, depozite, </w:t>
            </w:r>
            <w:proofErr w:type="spellStart"/>
            <w:r w:rsidRPr="00F774AD">
              <w:rPr>
                <w:rFonts w:ascii="Arial" w:hAnsi="Arial" w:cs="Arial"/>
                <w:sz w:val="18"/>
                <w:szCs w:val="18"/>
              </w:rPr>
              <w:t>jamčevne</w:t>
            </w:r>
            <w:proofErr w:type="spellEnd"/>
            <w:r w:rsidRPr="00F774AD">
              <w:rPr>
                <w:rFonts w:ascii="Arial" w:hAnsi="Arial" w:cs="Arial"/>
                <w:sz w:val="18"/>
                <w:szCs w:val="18"/>
              </w:rPr>
              <w:t xml:space="preserve"> </w:t>
            </w:r>
            <w:proofErr w:type="spellStart"/>
            <w:r w:rsidRPr="00F774AD">
              <w:rPr>
                <w:rFonts w:ascii="Arial" w:hAnsi="Arial" w:cs="Arial"/>
                <w:sz w:val="18"/>
                <w:szCs w:val="18"/>
              </w:rPr>
              <w:t>pologe</w:t>
            </w:r>
            <w:proofErr w:type="spellEnd"/>
            <w:r w:rsidRPr="00F774AD">
              <w:rPr>
                <w:rFonts w:ascii="Arial" w:hAnsi="Arial" w:cs="Arial"/>
                <w:sz w:val="18"/>
                <w:szCs w:val="18"/>
              </w:rPr>
              <w:t xml:space="preserve"> i tuđe prihode </w:t>
            </w:r>
          </w:p>
        </w:tc>
        <w:tc>
          <w:tcPr>
            <w:tcW w:w="717" w:type="dxa"/>
            <w:tcBorders>
              <w:top w:val="nil"/>
              <w:left w:val="nil"/>
              <w:bottom w:val="single" w:sz="4" w:space="0" w:color="C0C0C0"/>
              <w:right w:val="single" w:sz="4" w:space="0" w:color="000080"/>
            </w:tcBorders>
            <w:shd w:val="clear" w:color="auto" w:fill="auto"/>
            <w:vAlign w:val="center"/>
            <w:hideMark/>
          </w:tcPr>
          <w:p w14:paraId="4FC40A8F"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27</w:t>
            </w:r>
          </w:p>
        </w:tc>
        <w:tc>
          <w:tcPr>
            <w:tcW w:w="1481" w:type="dxa"/>
            <w:tcBorders>
              <w:top w:val="nil"/>
              <w:left w:val="nil"/>
              <w:bottom w:val="single" w:sz="4" w:space="0" w:color="C0C0C0"/>
              <w:right w:val="single" w:sz="4" w:space="0" w:color="000080"/>
            </w:tcBorders>
            <w:shd w:val="clear" w:color="auto" w:fill="auto"/>
            <w:noWrap/>
            <w:vAlign w:val="center"/>
            <w:hideMark/>
          </w:tcPr>
          <w:p w14:paraId="2ED5ECC9"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 </w:t>
            </w:r>
          </w:p>
        </w:tc>
        <w:tc>
          <w:tcPr>
            <w:tcW w:w="1462" w:type="dxa"/>
            <w:tcBorders>
              <w:top w:val="nil"/>
              <w:left w:val="nil"/>
              <w:bottom w:val="single" w:sz="4" w:space="0" w:color="C0C0C0"/>
              <w:right w:val="single" w:sz="4" w:space="0" w:color="000080"/>
            </w:tcBorders>
            <w:shd w:val="clear" w:color="auto" w:fill="auto"/>
            <w:noWrap/>
            <w:vAlign w:val="center"/>
            <w:hideMark/>
          </w:tcPr>
          <w:p w14:paraId="5FE9B6E1"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101.765.862,50</w:t>
            </w:r>
          </w:p>
        </w:tc>
        <w:tc>
          <w:tcPr>
            <w:tcW w:w="967" w:type="dxa"/>
            <w:tcBorders>
              <w:top w:val="nil"/>
              <w:left w:val="nil"/>
              <w:bottom w:val="single" w:sz="4" w:space="0" w:color="C0C0C0"/>
              <w:right w:val="single" w:sz="4" w:space="0" w:color="000000"/>
            </w:tcBorders>
            <w:shd w:val="clear" w:color="auto" w:fill="auto"/>
            <w:noWrap/>
            <w:vAlign w:val="center"/>
            <w:hideMark/>
          </w:tcPr>
          <w:p w14:paraId="2419CA1B"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w:t>
            </w:r>
          </w:p>
        </w:tc>
      </w:tr>
      <w:tr w:rsidR="00F774AD" w:rsidRPr="00F774AD" w14:paraId="4505B277"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0686AD03" w14:textId="77777777" w:rsidR="00F774AD" w:rsidRPr="00F774AD" w:rsidRDefault="00F774AD" w:rsidP="00F774AD">
            <w:pPr>
              <w:rPr>
                <w:rFonts w:ascii="Arial" w:hAnsi="Arial" w:cs="Arial"/>
                <w:sz w:val="18"/>
                <w:szCs w:val="18"/>
              </w:rPr>
            </w:pPr>
            <w:r w:rsidRPr="00F774AD">
              <w:rPr>
                <w:rFonts w:ascii="Arial" w:hAnsi="Arial" w:cs="Arial"/>
                <w:sz w:val="18"/>
                <w:szCs w:val="18"/>
              </w:rPr>
              <w:lastRenderedPageBreak/>
              <w:t>9</w:t>
            </w:r>
          </w:p>
        </w:tc>
        <w:tc>
          <w:tcPr>
            <w:tcW w:w="8766" w:type="dxa"/>
            <w:tcBorders>
              <w:top w:val="nil"/>
              <w:left w:val="nil"/>
              <w:bottom w:val="single" w:sz="4" w:space="0" w:color="C0C0C0"/>
              <w:right w:val="single" w:sz="4" w:space="0" w:color="000080"/>
            </w:tcBorders>
            <w:shd w:val="clear" w:color="auto" w:fill="auto"/>
            <w:vAlign w:val="center"/>
            <w:hideMark/>
          </w:tcPr>
          <w:p w14:paraId="77A80DCD" w14:textId="77777777" w:rsidR="00F774AD" w:rsidRPr="00F774AD" w:rsidRDefault="00F774AD" w:rsidP="00F774AD">
            <w:pPr>
              <w:rPr>
                <w:rFonts w:ascii="Arial" w:hAnsi="Arial" w:cs="Arial"/>
                <w:sz w:val="18"/>
                <w:szCs w:val="18"/>
              </w:rPr>
            </w:pPr>
            <w:r w:rsidRPr="00F774AD">
              <w:rPr>
                <w:rFonts w:ascii="Arial" w:hAnsi="Arial" w:cs="Arial"/>
                <w:sz w:val="18"/>
                <w:szCs w:val="18"/>
              </w:rPr>
              <w:t>Vlastiti izvori (šifre 91 + 922 - 93 + 96 + 97)</w:t>
            </w:r>
          </w:p>
        </w:tc>
        <w:tc>
          <w:tcPr>
            <w:tcW w:w="717" w:type="dxa"/>
            <w:tcBorders>
              <w:top w:val="nil"/>
              <w:left w:val="nil"/>
              <w:bottom w:val="single" w:sz="4" w:space="0" w:color="C0C0C0"/>
              <w:right w:val="single" w:sz="4" w:space="0" w:color="000080"/>
            </w:tcBorders>
            <w:shd w:val="clear" w:color="auto" w:fill="auto"/>
            <w:vAlign w:val="center"/>
            <w:hideMark/>
          </w:tcPr>
          <w:p w14:paraId="052656C8"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9</w:t>
            </w:r>
          </w:p>
        </w:tc>
        <w:tc>
          <w:tcPr>
            <w:tcW w:w="1481" w:type="dxa"/>
            <w:tcBorders>
              <w:top w:val="nil"/>
              <w:left w:val="nil"/>
              <w:bottom w:val="single" w:sz="4" w:space="0" w:color="C0C0C0"/>
              <w:right w:val="single" w:sz="4" w:space="0" w:color="000080"/>
            </w:tcBorders>
            <w:shd w:val="clear" w:color="auto" w:fill="auto"/>
            <w:noWrap/>
            <w:vAlign w:val="center"/>
            <w:hideMark/>
          </w:tcPr>
          <w:p w14:paraId="2ADBD9F3"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300.648.556,84</w:t>
            </w:r>
          </w:p>
        </w:tc>
        <w:tc>
          <w:tcPr>
            <w:tcW w:w="1462" w:type="dxa"/>
            <w:tcBorders>
              <w:top w:val="nil"/>
              <w:left w:val="nil"/>
              <w:bottom w:val="single" w:sz="4" w:space="0" w:color="C0C0C0"/>
              <w:right w:val="single" w:sz="4" w:space="0" w:color="000080"/>
            </w:tcBorders>
            <w:shd w:val="clear" w:color="auto" w:fill="auto"/>
            <w:noWrap/>
            <w:vAlign w:val="center"/>
            <w:hideMark/>
          </w:tcPr>
          <w:p w14:paraId="4F4507F5"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326.977.661,80</w:t>
            </w:r>
          </w:p>
        </w:tc>
        <w:tc>
          <w:tcPr>
            <w:tcW w:w="967" w:type="dxa"/>
            <w:tcBorders>
              <w:top w:val="nil"/>
              <w:left w:val="nil"/>
              <w:bottom w:val="single" w:sz="4" w:space="0" w:color="C0C0C0"/>
              <w:right w:val="single" w:sz="4" w:space="0" w:color="000000"/>
            </w:tcBorders>
            <w:shd w:val="clear" w:color="auto" w:fill="auto"/>
            <w:noWrap/>
            <w:vAlign w:val="center"/>
            <w:hideMark/>
          </w:tcPr>
          <w:p w14:paraId="264F2330"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108,8</w:t>
            </w:r>
          </w:p>
        </w:tc>
      </w:tr>
      <w:tr w:rsidR="00F774AD" w:rsidRPr="00F774AD" w14:paraId="6EF17F74"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069C6AC2" w14:textId="77777777" w:rsidR="00F774AD" w:rsidRPr="00F774AD" w:rsidRDefault="00F774AD" w:rsidP="00F774AD">
            <w:pPr>
              <w:rPr>
                <w:rFonts w:ascii="Arial" w:hAnsi="Arial" w:cs="Arial"/>
                <w:sz w:val="18"/>
                <w:szCs w:val="18"/>
              </w:rPr>
            </w:pPr>
            <w:r w:rsidRPr="00F774AD">
              <w:rPr>
                <w:rFonts w:ascii="Arial" w:hAnsi="Arial" w:cs="Arial"/>
                <w:sz w:val="18"/>
                <w:szCs w:val="18"/>
              </w:rPr>
              <w:t>91</w:t>
            </w:r>
          </w:p>
        </w:tc>
        <w:tc>
          <w:tcPr>
            <w:tcW w:w="8766" w:type="dxa"/>
            <w:tcBorders>
              <w:top w:val="nil"/>
              <w:left w:val="nil"/>
              <w:bottom w:val="single" w:sz="4" w:space="0" w:color="C0C0C0"/>
              <w:right w:val="single" w:sz="4" w:space="0" w:color="000080"/>
            </w:tcBorders>
            <w:shd w:val="clear" w:color="auto" w:fill="auto"/>
            <w:vAlign w:val="center"/>
            <w:hideMark/>
          </w:tcPr>
          <w:p w14:paraId="39B83AB1" w14:textId="77777777" w:rsidR="00F774AD" w:rsidRPr="00F774AD" w:rsidRDefault="00F774AD" w:rsidP="00F774AD">
            <w:pPr>
              <w:rPr>
                <w:rFonts w:ascii="Arial" w:hAnsi="Arial" w:cs="Arial"/>
                <w:sz w:val="18"/>
                <w:szCs w:val="18"/>
              </w:rPr>
            </w:pPr>
            <w:r w:rsidRPr="00F774AD">
              <w:rPr>
                <w:rFonts w:ascii="Arial" w:hAnsi="Arial" w:cs="Arial"/>
                <w:sz w:val="18"/>
                <w:szCs w:val="18"/>
              </w:rPr>
              <w:t>Vlastiti izvori i ispravak vlastitih izvora (šifre 911-912)</w:t>
            </w:r>
          </w:p>
        </w:tc>
        <w:tc>
          <w:tcPr>
            <w:tcW w:w="717" w:type="dxa"/>
            <w:tcBorders>
              <w:top w:val="nil"/>
              <w:left w:val="nil"/>
              <w:bottom w:val="single" w:sz="4" w:space="0" w:color="C0C0C0"/>
              <w:right w:val="single" w:sz="4" w:space="0" w:color="000080"/>
            </w:tcBorders>
            <w:shd w:val="clear" w:color="auto" w:fill="auto"/>
            <w:vAlign w:val="center"/>
            <w:hideMark/>
          </w:tcPr>
          <w:p w14:paraId="6BB06433"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91</w:t>
            </w:r>
          </w:p>
        </w:tc>
        <w:tc>
          <w:tcPr>
            <w:tcW w:w="1481" w:type="dxa"/>
            <w:tcBorders>
              <w:top w:val="nil"/>
              <w:left w:val="nil"/>
              <w:bottom w:val="single" w:sz="4" w:space="0" w:color="C0C0C0"/>
              <w:right w:val="single" w:sz="4" w:space="0" w:color="000080"/>
            </w:tcBorders>
            <w:shd w:val="clear" w:color="auto" w:fill="auto"/>
            <w:noWrap/>
            <w:vAlign w:val="center"/>
            <w:hideMark/>
          </w:tcPr>
          <w:p w14:paraId="6900F8CD"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242.943.530,88</w:t>
            </w:r>
          </w:p>
        </w:tc>
        <w:tc>
          <w:tcPr>
            <w:tcW w:w="1462" w:type="dxa"/>
            <w:tcBorders>
              <w:top w:val="nil"/>
              <w:left w:val="nil"/>
              <w:bottom w:val="single" w:sz="4" w:space="0" w:color="C0C0C0"/>
              <w:right w:val="single" w:sz="4" w:space="0" w:color="000080"/>
            </w:tcBorders>
            <w:shd w:val="clear" w:color="auto" w:fill="auto"/>
            <w:noWrap/>
            <w:vAlign w:val="center"/>
            <w:hideMark/>
          </w:tcPr>
          <w:p w14:paraId="6555CF79"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202.997.852,66</w:t>
            </w:r>
          </w:p>
        </w:tc>
        <w:tc>
          <w:tcPr>
            <w:tcW w:w="967" w:type="dxa"/>
            <w:tcBorders>
              <w:top w:val="nil"/>
              <w:left w:val="nil"/>
              <w:bottom w:val="single" w:sz="4" w:space="0" w:color="C0C0C0"/>
              <w:right w:val="single" w:sz="4" w:space="0" w:color="000000"/>
            </w:tcBorders>
            <w:shd w:val="clear" w:color="auto" w:fill="auto"/>
            <w:noWrap/>
            <w:vAlign w:val="center"/>
            <w:hideMark/>
          </w:tcPr>
          <w:p w14:paraId="28055097"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83,6</w:t>
            </w:r>
          </w:p>
        </w:tc>
      </w:tr>
      <w:tr w:rsidR="00F774AD" w:rsidRPr="00F774AD" w14:paraId="4BA4936F"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41B373BC" w14:textId="77777777" w:rsidR="00F774AD" w:rsidRPr="00F774AD" w:rsidRDefault="00F774AD" w:rsidP="00F774AD">
            <w:pPr>
              <w:rPr>
                <w:rFonts w:ascii="Arial" w:hAnsi="Arial" w:cs="Arial"/>
                <w:sz w:val="18"/>
                <w:szCs w:val="18"/>
              </w:rPr>
            </w:pPr>
            <w:r w:rsidRPr="00F774AD">
              <w:rPr>
                <w:rFonts w:ascii="Arial" w:hAnsi="Arial" w:cs="Arial"/>
                <w:sz w:val="18"/>
                <w:szCs w:val="18"/>
              </w:rPr>
              <w:t>911</w:t>
            </w:r>
          </w:p>
        </w:tc>
        <w:tc>
          <w:tcPr>
            <w:tcW w:w="8766" w:type="dxa"/>
            <w:tcBorders>
              <w:top w:val="nil"/>
              <w:left w:val="nil"/>
              <w:bottom w:val="single" w:sz="4" w:space="0" w:color="C0C0C0"/>
              <w:right w:val="single" w:sz="4" w:space="0" w:color="000080"/>
            </w:tcBorders>
            <w:shd w:val="clear" w:color="auto" w:fill="auto"/>
            <w:vAlign w:val="center"/>
            <w:hideMark/>
          </w:tcPr>
          <w:p w14:paraId="1C6BD109" w14:textId="77777777" w:rsidR="00F774AD" w:rsidRPr="00F774AD" w:rsidRDefault="00F774AD" w:rsidP="00F774AD">
            <w:pPr>
              <w:rPr>
                <w:rFonts w:ascii="Arial" w:hAnsi="Arial" w:cs="Arial"/>
                <w:sz w:val="18"/>
                <w:szCs w:val="18"/>
              </w:rPr>
            </w:pPr>
            <w:r w:rsidRPr="00F774AD">
              <w:rPr>
                <w:rFonts w:ascii="Arial" w:hAnsi="Arial" w:cs="Arial"/>
                <w:sz w:val="18"/>
                <w:szCs w:val="18"/>
              </w:rPr>
              <w:t>Vlastiti izvori</w:t>
            </w:r>
          </w:p>
        </w:tc>
        <w:tc>
          <w:tcPr>
            <w:tcW w:w="717" w:type="dxa"/>
            <w:tcBorders>
              <w:top w:val="nil"/>
              <w:left w:val="nil"/>
              <w:bottom w:val="single" w:sz="4" w:space="0" w:color="C0C0C0"/>
              <w:right w:val="single" w:sz="4" w:space="0" w:color="000080"/>
            </w:tcBorders>
            <w:shd w:val="clear" w:color="auto" w:fill="auto"/>
            <w:vAlign w:val="center"/>
            <w:hideMark/>
          </w:tcPr>
          <w:p w14:paraId="6F3F02A9"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911</w:t>
            </w:r>
          </w:p>
        </w:tc>
        <w:tc>
          <w:tcPr>
            <w:tcW w:w="1481" w:type="dxa"/>
            <w:tcBorders>
              <w:top w:val="nil"/>
              <w:left w:val="nil"/>
              <w:bottom w:val="single" w:sz="4" w:space="0" w:color="C0C0C0"/>
              <w:right w:val="single" w:sz="4" w:space="0" w:color="000080"/>
            </w:tcBorders>
            <w:shd w:val="clear" w:color="auto" w:fill="auto"/>
            <w:noWrap/>
            <w:vAlign w:val="center"/>
            <w:hideMark/>
          </w:tcPr>
          <w:p w14:paraId="5F55F6AB"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242.943.530,88</w:t>
            </w:r>
          </w:p>
        </w:tc>
        <w:tc>
          <w:tcPr>
            <w:tcW w:w="1462" w:type="dxa"/>
            <w:tcBorders>
              <w:top w:val="nil"/>
              <w:left w:val="nil"/>
              <w:bottom w:val="single" w:sz="4" w:space="0" w:color="C0C0C0"/>
              <w:right w:val="single" w:sz="4" w:space="0" w:color="000080"/>
            </w:tcBorders>
            <w:shd w:val="clear" w:color="auto" w:fill="auto"/>
            <w:noWrap/>
            <w:vAlign w:val="center"/>
            <w:hideMark/>
          </w:tcPr>
          <w:p w14:paraId="7FE4DFE6"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202.997.852,66</w:t>
            </w:r>
          </w:p>
        </w:tc>
        <w:tc>
          <w:tcPr>
            <w:tcW w:w="967" w:type="dxa"/>
            <w:tcBorders>
              <w:top w:val="nil"/>
              <w:left w:val="nil"/>
              <w:bottom w:val="single" w:sz="4" w:space="0" w:color="C0C0C0"/>
              <w:right w:val="single" w:sz="4" w:space="0" w:color="000000"/>
            </w:tcBorders>
            <w:shd w:val="clear" w:color="auto" w:fill="auto"/>
            <w:noWrap/>
            <w:vAlign w:val="center"/>
            <w:hideMark/>
          </w:tcPr>
          <w:p w14:paraId="0A6E7C56"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83,6</w:t>
            </w:r>
          </w:p>
        </w:tc>
      </w:tr>
      <w:tr w:rsidR="00F774AD" w:rsidRPr="00F774AD" w14:paraId="5FCC14CA"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59D41B41" w14:textId="77777777" w:rsidR="00F774AD" w:rsidRPr="00F774AD" w:rsidRDefault="00F774AD" w:rsidP="00F774AD">
            <w:pPr>
              <w:rPr>
                <w:rFonts w:ascii="Arial" w:hAnsi="Arial" w:cs="Arial"/>
                <w:sz w:val="18"/>
                <w:szCs w:val="18"/>
              </w:rPr>
            </w:pPr>
            <w:r w:rsidRPr="00F774AD">
              <w:rPr>
                <w:rFonts w:ascii="Arial" w:hAnsi="Arial" w:cs="Arial"/>
                <w:sz w:val="18"/>
                <w:szCs w:val="18"/>
              </w:rPr>
              <w:t>922</w:t>
            </w:r>
          </w:p>
        </w:tc>
        <w:tc>
          <w:tcPr>
            <w:tcW w:w="8766" w:type="dxa"/>
            <w:tcBorders>
              <w:top w:val="nil"/>
              <w:left w:val="nil"/>
              <w:bottom w:val="single" w:sz="4" w:space="0" w:color="C0C0C0"/>
              <w:right w:val="single" w:sz="4" w:space="0" w:color="000080"/>
            </w:tcBorders>
            <w:shd w:val="clear" w:color="auto" w:fill="auto"/>
            <w:vAlign w:val="center"/>
            <w:hideMark/>
          </w:tcPr>
          <w:p w14:paraId="3926816D" w14:textId="77777777" w:rsidR="00F774AD" w:rsidRPr="00F774AD" w:rsidRDefault="00F774AD" w:rsidP="00F774AD">
            <w:pPr>
              <w:rPr>
                <w:rFonts w:ascii="Arial" w:hAnsi="Arial" w:cs="Arial"/>
                <w:sz w:val="18"/>
                <w:szCs w:val="18"/>
              </w:rPr>
            </w:pPr>
            <w:r w:rsidRPr="00F774AD">
              <w:rPr>
                <w:rFonts w:ascii="Arial" w:hAnsi="Arial" w:cs="Arial"/>
                <w:sz w:val="18"/>
                <w:szCs w:val="18"/>
              </w:rPr>
              <w:t>Rezultat - višak/manjak (šifre 9221-9222)</w:t>
            </w:r>
          </w:p>
        </w:tc>
        <w:tc>
          <w:tcPr>
            <w:tcW w:w="717" w:type="dxa"/>
            <w:tcBorders>
              <w:top w:val="nil"/>
              <w:left w:val="nil"/>
              <w:bottom w:val="single" w:sz="4" w:space="0" w:color="C0C0C0"/>
              <w:right w:val="single" w:sz="4" w:space="0" w:color="000080"/>
            </w:tcBorders>
            <w:shd w:val="clear" w:color="auto" w:fill="auto"/>
            <w:vAlign w:val="center"/>
            <w:hideMark/>
          </w:tcPr>
          <w:p w14:paraId="15401342"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922</w:t>
            </w:r>
          </w:p>
        </w:tc>
        <w:tc>
          <w:tcPr>
            <w:tcW w:w="1481" w:type="dxa"/>
            <w:tcBorders>
              <w:top w:val="nil"/>
              <w:left w:val="nil"/>
              <w:bottom w:val="single" w:sz="4" w:space="0" w:color="C0C0C0"/>
              <w:right w:val="single" w:sz="4" w:space="0" w:color="000080"/>
            </w:tcBorders>
            <w:shd w:val="clear" w:color="auto" w:fill="auto"/>
            <w:noWrap/>
            <w:vAlign w:val="center"/>
            <w:hideMark/>
          </w:tcPr>
          <w:p w14:paraId="562F8A97"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15.781.936,77</w:t>
            </w:r>
          </w:p>
        </w:tc>
        <w:tc>
          <w:tcPr>
            <w:tcW w:w="1462" w:type="dxa"/>
            <w:tcBorders>
              <w:top w:val="nil"/>
              <w:left w:val="nil"/>
              <w:bottom w:val="single" w:sz="4" w:space="0" w:color="C0C0C0"/>
              <w:right w:val="single" w:sz="4" w:space="0" w:color="000080"/>
            </w:tcBorders>
            <w:shd w:val="clear" w:color="auto" w:fill="auto"/>
            <w:noWrap/>
            <w:vAlign w:val="center"/>
            <w:hideMark/>
          </w:tcPr>
          <w:p w14:paraId="78E4A4DC"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11.116.429,59</w:t>
            </w:r>
          </w:p>
        </w:tc>
        <w:tc>
          <w:tcPr>
            <w:tcW w:w="967" w:type="dxa"/>
            <w:tcBorders>
              <w:top w:val="nil"/>
              <w:left w:val="nil"/>
              <w:bottom w:val="single" w:sz="4" w:space="0" w:color="C0C0C0"/>
              <w:right w:val="single" w:sz="4" w:space="0" w:color="000000"/>
            </w:tcBorders>
            <w:shd w:val="clear" w:color="auto" w:fill="auto"/>
            <w:noWrap/>
            <w:vAlign w:val="center"/>
            <w:hideMark/>
          </w:tcPr>
          <w:p w14:paraId="76957C3D"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70,4</w:t>
            </w:r>
          </w:p>
        </w:tc>
      </w:tr>
      <w:tr w:rsidR="00F774AD" w:rsidRPr="00F774AD" w14:paraId="60ABE46E"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33466120" w14:textId="77777777" w:rsidR="00F774AD" w:rsidRPr="00F774AD" w:rsidRDefault="00F774AD" w:rsidP="00F774AD">
            <w:pPr>
              <w:rPr>
                <w:rFonts w:ascii="Arial" w:hAnsi="Arial" w:cs="Arial"/>
                <w:sz w:val="18"/>
                <w:szCs w:val="18"/>
              </w:rPr>
            </w:pPr>
            <w:r w:rsidRPr="00F774AD">
              <w:rPr>
                <w:rFonts w:ascii="Arial" w:hAnsi="Arial" w:cs="Arial"/>
                <w:sz w:val="18"/>
                <w:szCs w:val="18"/>
              </w:rPr>
              <w:t>9221</w:t>
            </w:r>
          </w:p>
        </w:tc>
        <w:tc>
          <w:tcPr>
            <w:tcW w:w="8766" w:type="dxa"/>
            <w:tcBorders>
              <w:top w:val="nil"/>
              <w:left w:val="nil"/>
              <w:bottom w:val="single" w:sz="4" w:space="0" w:color="C0C0C0"/>
              <w:right w:val="single" w:sz="4" w:space="0" w:color="000080"/>
            </w:tcBorders>
            <w:shd w:val="clear" w:color="auto" w:fill="auto"/>
            <w:vAlign w:val="center"/>
            <w:hideMark/>
          </w:tcPr>
          <w:p w14:paraId="2E08D700" w14:textId="77777777" w:rsidR="00F774AD" w:rsidRPr="00F774AD" w:rsidRDefault="00F774AD" w:rsidP="00F774AD">
            <w:pPr>
              <w:rPr>
                <w:rFonts w:ascii="Arial" w:hAnsi="Arial" w:cs="Arial"/>
                <w:sz w:val="18"/>
                <w:szCs w:val="18"/>
              </w:rPr>
            </w:pPr>
            <w:r w:rsidRPr="00F774AD">
              <w:rPr>
                <w:rFonts w:ascii="Arial" w:hAnsi="Arial" w:cs="Arial"/>
                <w:sz w:val="18"/>
                <w:szCs w:val="18"/>
              </w:rPr>
              <w:t>Višak prihoda i primitaka (šifre 92211 do 92213)</w:t>
            </w:r>
          </w:p>
        </w:tc>
        <w:tc>
          <w:tcPr>
            <w:tcW w:w="717" w:type="dxa"/>
            <w:tcBorders>
              <w:top w:val="nil"/>
              <w:left w:val="nil"/>
              <w:bottom w:val="single" w:sz="4" w:space="0" w:color="C0C0C0"/>
              <w:right w:val="single" w:sz="4" w:space="0" w:color="000080"/>
            </w:tcBorders>
            <w:shd w:val="clear" w:color="auto" w:fill="auto"/>
            <w:vAlign w:val="center"/>
            <w:hideMark/>
          </w:tcPr>
          <w:p w14:paraId="242CF4B1"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9221</w:t>
            </w:r>
          </w:p>
        </w:tc>
        <w:tc>
          <w:tcPr>
            <w:tcW w:w="1481" w:type="dxa"/>
            <w:tcBorders>
              <w:top w:val="nil"/>
              <w:left w:val="nil"/>
              <w:bottom w:val="single" w:sz="4" w:space="0" w:color="C0C0C0"/>
              <w:right w:val="single" w:sz="4" w:space="0" w:color="000080"/>
            </w:tcBorders>
            <w:shd w:val="clear" w:color="auto" w:fill="auto"/>
            <w:noWrap/>
            <w:vAlign w:val="center"/>
            <w:hideMark/>
          </w:tcPr>
          <w:p w14:paraId="6BB3EE09"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17.513.438,94</w:t>
            </w:r>
          </w:p>
        </w:tc>
        <w:tc>
          <w:tcPr>
            <w:tcW w:w="1462" w:type="dxa"/>
            <w:tcBorders>
              <w:top w:val="nil"/>
              <w:left w:val="nil"/>
              <w:bottom w:val="single" w:sz="4" w:space="0" w:color="C0C0C0"/>
              <w:right w:val="single" w:sz="4" w:space="0" w:color="000080"/>
            </w:tcBorders>
            <w:shd w:val="clear" w:color="auto" w:fill="auto"/>
            <w:noWrap/>
            <w:vAlign w:val="center"/>
            <w:hideMark/>
          </w:tcPr>
          <w:p w14:paraId="70BFB0E6"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16.709.089,95</w:t>
            </w:r>
          </w:p>
        </w:tc>
        <w:tc>
          <w:tcPr>
            <w:tcW w:w="967" w:type="dxa"/>
            <w:tcBorders>
              <w:top w:val="nil"/>
              <w:left w:val="nil"/>
              <w:bottom w:val="single" w:sz="4" w:space="0" w:color="C0C0C0"/>
              <w:right w:val="single" w:sz="4" w:space="0" w:color="000000"/>
            </w:tcBorders>
            <w:shd w:val="clear" w:color="auto" w:fill="auto"/>
            <w:noWrap/>
            <w:vAlign w:val="center"/>
            <w:hideMark/>
          </w:tcPr>
          <w:p w14:paraId="04F25B79"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95,4</w:t>
            </w:r>
          </w:p>
        </w:tc>
      </w:tr>
      <w:tr w:rsidR="00F774AD" w:rsidRPr="00F774AD" w14:paraId="404E9567"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3D6747FF" w14:textId="77777777" w:rsidR="00F774AD" w:rsidRPr="00F774AD" w:rsidRDefault="00F774AD" w:rsidP="00F774AD">
            <w:pPr>
              <w:rPr>
                <w:rFonts w:ascii="Arial" w:hAnsi="Arial" w:cs="Arial"/>
                <w:sz w:val="18"/>
                <w:szCs w:val="18"/>
              </w:rPr>
            </w:pPr>
            <w:r w:rsidRPr="00F774AD">
              <w:rPr>
                <w:rFonts w:ascii="Arial" w:hAnsi="Arial" w:cs="Arial"/>
                <w:sz w:val="18"/>
                <w:szCs w:val="18"/>
              </w:rPr>
              <w:t>92211</w:t>
            </w:r>
          </w:p>
        </w:tc>
        <w:tc>
          <w:tcPr>
            <w:tcW w:w="8766" w:type="dxa"/>
            <w:tcBorders>
              <w:top w:val="nil"/>
              <w:left w:val="nil"/>
              <w:bottom w:val="single" w:sz="4" w:space="0" w:color="C0C0C0"/>
              <w:right w:val="single" w:sz="4" w:space="0" w:color="000080"/>
            </w:tcBorders>
            <w:shd w:val="clear" w:color="auto" w:fill="auto"/>
            <w:vAlign w:val="center"/>
            <w:hideMark/>
          </w:tcPr>
          <w:p w14:paraId="3E41DB07" w14:textId="77777777" w:rsidR="00F774AD" w:rsidRPr="00F774AD" w:rsidRDefault="00F774AD" w:rsidP="00F774AD">
            <w:pPr>
              <w:rPr>
                <w:rFonts w:ascii="Arial" w:hAnsi="Arial" w:cs="Arial"/>
                <w:sz w:val="18"/>
                <w:szCs w:val="18"/>
              </w:rPr>
            </w:pPr>
            <w:r w:rsidRPr="00F774AD">
              <w:rPr>
                <w:rFonts w:ascii="Arial" w:hAnsi="Arial" w:cs="Arial"/>
                <w:sz w:val="18"/>
                <w:szCs w:val="18"/>
              </w:rPr>
              <w:t>Višak prihoda poslovanja</w:t>
            </w:r>
          </w:p>
        </w:tc>
        <w:tc>
          <w:tcPr>
            <w:tcW w:w="717" w:type="dxa"/>
            <w:tcBorders>
              <w:top w:val="nil"/>
              <w:left w:val="nil"/>
              <w:bottom w:val="single" w:sz="4" w:space="0" w:color="C0C0C0"/>
              <w:right w:val="single" w:sz="4" w:space="0" w:color="000080"/>
            </w:tcBorders>
            <w:shd w:val="clear" w:color="auto" w:fill="auto"/>
            <w:vAlign w:val="center"/>
            <w:hideMark/>
          </w:tcPr>
          <w:p w14:paraId="7F7C69C4"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92211</w:t>
            </w:r>
          </w:p>
        </w:tc>
        <w:tc>
          <w:tcPr>
            <w:tcW w:w="1481" w:type="dxa"/>
            <w:tcBorders>
              <w:top w:val="nil"/>
              <w:left w:val="nil"/>
              <w:bottom w:val="single" w:sz="4" w:space="0" w:color="C0C0C0"/>
              <w:right w:val="single" w:sz="4" w:space="0" w:color="000080"/>
            </w:tcBorders>
            <w:shd w:val="clear" w:color="auto" w:fill="auto"/>
            <w:noWrap/>
            <w:vAlign w:val="center"/>
            <w:hideMark/>
          </w:tcPr>
          <w:p w14:paraId="62F27651"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6.988.009,11</w:t>
            </w:r>
          </w:p>
        </w:tc>
        <w:tc>
          <w:tcPr>
            <w:tcW w:w="1462" w:type="dxa"/>
            <w:tcBorders>
              <w:top w:val="nil"/>
              <w:left w:val="nil"/>
              <w:bottom w:val="single" w:sz="4" w:space="0" w:color="C0C0C0"/>
              <w:right w:val="single" w:sz="4" w:space="0" w:color="000080"/>
            </w:tcBorders>
            <w:shd w:val="clear" w:color="auto" w:fill="auto"/>
            <w:noWrap/>
            <w:vAlign w:val="center"/>
            <w:hideMark/>
          </w:tcPr>
          <w:p w14:paraId="0AB1F3D8"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16.709.089,95</w:t>
            </w:r>
          </w:p>
        </w:tc>
        <w:tc>
          <w:tcPr>
            <w:tcW w:w="967" w:type="dxa"/>
            <w:tcBorders>
              <w:top w:val="nil"/>
              <w:left w:val="nil"/>
              <w:bottom w:val="single" w:sz="4" w:space="0" w:color="C0C0C0"/>
              <w:right w:val="single" w:sz="4" w:space="0" w:color="000000"/>
            </w:tcBorders>
            <w:shd w:val="clear" w:color="auto" w:fill="auto"/>
            <w:noWrap/>
            <w:vAlign w:val="center"/>
            <w:hideMark/>
          </w:tcPr>
          <w:p w14:paraId="67E466F4"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239,1</w:t>
            </w:r>
          </w:p>
        </w:tc>
      </w:tr>
      <w:tr w:rsidR="00F774AD" w:rsidRPr="00F774AD" w14:paraId="29D720D6"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1C2E1FF2" w14:textId="77777777" w:rsidR="00F774AD" w:rsidRPr="00F774AD" w:rsidRDefault="00F774AD" w:rsidP="00F774AD">
            <w:pPr>
              <w:rPr>
                <w:rFonts w:ascii="Arial" w:hAnsi="Arial" w:cs="Arial"/>
                <w:sz w:val="18"/>
                <w:szCs w:val="18"/>
              </w:rPr>
            </w:pPr>
            <w:r w:rsidRPr="00F774AD">
              <w:rPr>
                <w:rFonts w:ascii="Arial" w:hAnsi="Arial" w:cs="Arial"/>
                <w:sz w:val="18"/>
                <w:szCs w:val="18"/>
              </w:rPr>
              <w:t>92213</w:t>
            </w:r>
          </w:p>
        </w:tc>
        <w:tc>
          <w:tcPr>
            <w:tcW w:w="8766" w:type="dxa"/>
            <w:tcBorders>
              <w:top w:val="nil"/>
              <w:left w:val="nil"/>
              <w:bottom w:val="single" w:sz="4" w:space="0" w:color="C0C0C0"/>
              <w:right w:val="single" w:sz="4" w:space="0" w:color="000080"/>
            </w:tcBorders>
            <w:shd w:val="clear" w:color="auto" w:fill="auto"/>
            <w:vAlign w:val="center"/>
            <w:hideMark/>
          </w:tcPr>
          <w:p w14:paraId="308C579D" w14:textId="77777777" w:rsidR="00F774AD" w:rsidRPr="00F774AD" w:rsidRDefault="00F774AD" w:rsidP="00F774AD">
            <w:pPr>
              <w:rPr>
                <w:rFonts w:ascii="Arial" w:hAnsi="Arial" w:cs="Arial"/>
                <w:sz w:val="18"/>
                <w:szCs w:val="18"/>
              </w:rPr>
            </w:pPr>
            <w:r w:rsidRPr="00F774AD">
              <w:rPr>
                <w:rFonts w:ascii="Arial" w:hAnsi="Arial" w:cs="Arial"/>
                <w:sz w:val="18"/>
                <w:szCs w:val="18"/>
              </w:rPr>
              <w:t>Višak primitaka od financijske imovine</w:t>
            </w:r>
          </w:p>
        </w:tc>
        <w:tc>
          <w:tcPr>
            <w:tcW w:w="717" w:type="dxa"/>
            <w:tcBorders>
              <w:top w:val="nil"/>
              <w:left w:val="nil"/>
              <w:bottom w:val="single" w:sz="4" w:space="0" w:color="C0C0C0"/>
              <w:right w:val="single" w:sz="4" w:space="0" w:color="000080"/>
            </w:tcBorders>
            <w:shd w:val="clear" w:color="auto" w:fill="auto"/>
            <w:vAlign w:val="center"/>
            <w:hideMark/>
          </w:tcPr>
          <w:p w14:paraId="1309ED91"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92213</w:t>
            </w:r>
          </w:p>
        </w:tc>
        <w:tc>
          <w:tcPr>
            <w:tcW w:w="1481" w:type="dxa"/>
            <w:tcBorders>
              <w:top w:val="nil"/>
              <w:left w:val="nil"/>
              <w:bottom w:val="single" w:sz="4" w:space="0" w:color="C0C0C0"/>
              <w:right w:val="single" w:sz="4" w:space="0" w:color="000080"/>
            </w:tcBorders>
            <w:shd w:val="clear" w:color="auto" w:fill="auto"/>
            <w:noWrap/>
            <w:vAlign w:val="center"/>
            <w:hideMark/>
          </w:tcPr>
          <w:p w14:paraId="7EEB8ABF"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10.525.429,83</w:t>
            </w:r>
          </w:p>
        </w:tc>
        <w:tc>
          <w:tcPr>
            <w:tcW w:w="1462" w:type="dxa"/>
            <w:tcBorders>
              <w:top w:val="nil"/>
              <w:left w:val="nil"/>
              <w:bottom w:val="single" w:sz="4" w:space="0" w:color="C0C0C0"/>
              <w:right w:val="single" w:sz="4" w:space="0" w:color="000080"/>
            </w:tcBorders>
            <w:shd w:val="clear" w:color="auto" w:fill="auto"/>
            <w:noWrap/>
            <w:vAlign w:val="center"/>
            <w:hideMark/>
          </w:tcPr>
          <w:p w14:paraId="2D36AEA2"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0,00</w:t>
            </w:r>
          </w:p>
        </w:tc>
        <w:tc>
          <w:tcPr>
            <w:tcW w:w="967" w:type="dxa"/>
            <w:tcBorders>
              <w:top w:val="nil"/>
              <w:left w:val="nil"/>
              <w:bottom w:val="single" w:sz="4" w:space="0" w:color="C0C0C0"/>
              <w:right w:val="single" w:sz="4" w:space="0" w:color="000000"/>
            </w:tcBorders>
            <w:shd w:val="clear" w:color="auto" w:fill="auto"/>
            <w:noWrap/>
            <w:vAlign w:val="center"/>
            <w:hideMark/>
          </w:tcPr>
          <w:p w14:paraId="25D65066"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0,0</w:t>
            </w:r>
          </w:p>
        </w:tc>
      </w:tr>
      <w:tr w:rsidR="00F774AD" w:rsidRPr="00F774AD" w14:paraId="270A3ABA"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3D138C08" w14:textId="77777777" w:rsidR="00F774AD" w:rsidRPr="00F774AD" w:rsidRDefault="00F774AD" w:rsidP="00F774AD">
            <w:pPr>
              <w:rPr>
                <w:rFonts w:ascii="Arial" w:hAnsi="Arial" w:cs="Arial"/>
                <w:sz w:val="18"/>
                <w:szCs w:val="18"/>
              </w:rPr>
            </w:pPr>
            <w:r w:rsidRPr="00F774AD">
              <w:rPr>
                <w:rFonts w:ascii="Arial" w:hAnsi="Arial" w:cs="Arial"/>
                <w:sz w:val="18"/>
                <w:szCs w:val="18"/>
              </w:rPr>
              <w:t>9222</w:t>
            </w:r>
          </w:p>
        </w:tc>
        <w:tc>
          <w:tcPr>
            <w:tcW w:w="8766" w:type="dxa"/>
            <w:tcBorders>
              <w:top w:val="nil"/>
              <w:left w:val="nil"/>
              <w:bottom w:val="single" w:sz="4" w:space="0" w:color="C0C0C0"/>
              <w:right w:val="single" w:sz="4" w:space="0" w:color="000080"/>
            </w:tcBorders>
            <w:shd w:val="clear" w:color="auto" w:fill="auto"/>
            <w:vAlign w:val="center"/>
            <w:hideMark/>
          </w:tcPr>
          <w:p w14:paraId="31EFE407" w14:textId="77777777" w:rsidR="00F774AD" w:rsidRPr="00F774AD" w:rsidRDefault="00F774AD" w:rsidP="00F774AD">
            <w:pPr>
              <w:rPr>
                <w:rFonts w:ascii="Arial" w:hAnsi="Arial" w:cs="Arial"/>
                <w:sz w:val="18"/>
                <w:szCs w:val="18"/>
              </w:rPr>
            </w:pPr>
            <w:r w:rsidRPr="00F774AD">
              <w:rPr>
                <w:rFonts w:ascii="Arial" w:hAnsi="Arial" w:cs="Arial"/>
                <w:sz w:val="18"/>
                <w:szCs w:val="18"/>
              </w:rPr>
              <w:t>Manjak prihoda i primitaka (šifre 92221 do 92223)</w:t>
            </w:r>
          </w:p>
        </w:tc>
        <w:tc>
          <w:tcPr>
            <w:tcW w:w="717" w:type="dxa"/>
            <w:tcBorders>
              <w:top w:val="nil"/>
              <w:left w:val="nil"/>
              <w:bottom w:val="single" w:sz="4" w:space="0" w:color="C0C0C0"/>
              <w:right w:val="single" w:sz="4" w:space="0" w:color="000080"/>
            </w:tcBorders>
            <w:shd w:val="clear" w:color="auto" w:fill="auto"/>
            <w:vAlign w:val="center"/>
            <w:hideMark/>
          </w:tcPr>
          <w:p w14:paraId="5B0BA134"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9222</w:t>
            </w:r>
          </w:p>
        </w:tc>
        <w:tc>
          <w:tcPr>
            <w:tcW w:w="1481" w:type="dxa"/>
            <w:tcBorders>
              <w:top w:val="nil"/>
              <w:left w:val="nil"/>
              <w:bottom w:val="single" w:sz="4" w:space="0" w:color="C0C0C0"/>
              <w:right w:val="single" w:sz="4" w:space="0" w:color="000080"/>
            </w:tcBorders>
            <w:shd w:val="clear" w:color="auto" w:fill="auto"/>
            <w:noWrap/>
            <w:vAlign w:val="center"/>
            <w:hideMark/>
          </w:tcPr>
          <w:p w14:paraId="68343EBA"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1.731.502,17</w:t>
            </w:r>
          </w:p>
        </w:tc>
        <w:tc>
          <w:tcPr>
            <w:tcW w:w="1462" w:type="dxa"/>
            <w:tcBorders>
              <w:top w:val="nil"/>
              <w:left w:val="nil"/>
              <w:bottom w:val="single" w:sz="4" w:space="0" w:color="C0C0C0"/>
              <w:right w:val="single" w:sz="4" w:space="0" w:color="000080"/>
            </w:tcBorders>
            <w:shd w:val="clear" w:color="auto" w:fill="auto"/>
            <w:noWrap/>
            <w:vAlign w:val="center"/>
            <w:hideMark/>
          </w:tcPr>
          <w:p w14:paraId="3757428F"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5.592.660,36</w:t>
            </w:r>
          </w:p>
        </w:tc>
        <w:tc>
          <w:tcPr>
            <w:tcW w:w="967" w:type="dxa"/>
            <w:tcBorders>
              <w:top w:val="nil"/>
              <w:left w:val="nil"/>
              <w:bottom w:val="single" w:sz="4" w:space="0" w:color="C0C0C0"/>
              <w:right w:val="single" w:sz="4" w:space="0" w:color="000000"/>
            </w:tcBorders>
            <w:shd w:val="clear" w:color="auto" w:fill="auto"/>
            <w:noWrap/>
            <w:vAlign w:val="center"/>
            <w:hideMark/>
          </w:tcPr>
          <w:p w14:paraId="29A12B63"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323,0</w:t>
            </w:r>
          </w:p>
        </w:tc>
      </w:tr>
      <w:tr w:rsidR="00F774AD" w:rsidRPr="00F774AD" w14:paraId="2CE5EF2A"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0461922A" w14:textId="77777777" w:rsidR="00F774AD" w:rsidRPr="00F774AD" w:rsidRDefault="00F774AD" w:rsidP="00F774AD">
            <w:pPr>
              <w:rPr>
                <w:rFonts w:ascii="Arial" w:hAnsi="Arial" w:cs="Arial"/>
                <w:sz w:val="18"/>
                <w:szCs w:val="18"/>
              </w:rPr>
            </w:pPr>
            <w:r w:rsidRPr="00F774AD">
              <w:rPr>
                <w:rFonts w:ascii="Arial" w:hAnsi="Arial" w:cs="Arial"/>
                <w:sz w:val="18"/>
                <w:szCs w:val="18"/>
              </w:rPr>
              <w:t>92222</w:t>
            </w:r>
          </w:p>
        </w:tc>
        <w:tc>
          <w:tcPr>
            <w:tcW w:w="8766" w:type="dxa"/>
            <w:tcBorders>
              <w:top w:val="nil"/>
              <w:left w:val="nil"/>
              <w:bottom w:val="single" w:sz="4" w:space="0" w:color="C0C0C0"/>
              <w:right w:val="single" w:sz="4" w:space="0" w:color="000080"/>
            </w:tcBorders>
            <w:shd w:val="clear" w:color="auto" w:fill="auto"/>
            <w:vAlign w:val="center"/>
            <w:hideMark/>
          </w:tcPr>
          <w:p w14:paraId="2E310FDA" w14:textId="77777777" w:rsidR="00F774AD" w:rsidRPr="00F774AD" w:rsidRDefault="00F774AD" w:rsidP="00F774AD">
            <w:pPr>
              <w:rPr>
                <w:rFonts w:ascii="Arial" w:hAnsi="Arial" w:cs="Arial"/>
                <w:sz w:val="18"/>
                <w:szCs w:val="18"/>
              </w:rPr>
            </w:pPr>
            <w:r w:rsidRPr="00F774AD">
              <w:rPr>
                <w:rFonts w:ascii="Arial" w:hAnsi="Arial" w:cs="Arial"/>
                <w:sz w:val="18"/>
                <w:szCs w:val="18"/>
              </w:rPr>
              <w:t>Manjak prihoda od nefinancijske imovine</w:t>
            </w:r>
          </w:p>
        </w:tc>
        <w:tc>
          <w:tcPr>
            <w:tcW w:w="717" w:type="dxa"/>
            <w:tcBorders>
              <w:top w:val="nil"/>
              <w:left w:val="nil"/>
              <w:bottom w:val="single" w:sz="4" w:space="0" w:color="C0C0C0"/>
              <w:right w:val="single" w:sz="4" w:space="0" w:color="000080"/>
            </w:tcBorders>
            <w:shd w:val="clear" w:color="auto" w:fill="auto"/>
            <w:vAlign w:val="center"/>
            <w:hideMark/>
          </w:tcPr>
          <w:p w14:paraId="2B39F9AF"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92222</w:t>
            </w:r>
          </w:p>
        </w:tc>
        <w:tc>
          <w:tcPr>
            <w:tcW w:w="1481" w:type="dxa"/>
            <w:tcBorders>
              <w:top w:val="nil"/>
              <w:left w:val="nil"/>
              <w:bottom w:val="single" w:sz="4" w:space="0" w:color="C0C0C0"/>
              <w:right w:val="single" w:sz="4" w:space="0" w:color="000080"/>
            </w:tcBorders>
            <w:shd w:val="clear" w:color="auto" w:fill="auto"/>
            <w:noWrap/>
            <w:vAlign w:val="center"/>
            <w:hideMark/>
          </w:tcPr>
          <w:p w14:paraId="6A2C8018"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1.731.502,17</w:t>
            </w:r>
          </w:p>
        </w:tc>
        <w:tc>
          <w:tcPr>
            <w:tcW w:w="1462" w:type="dxa"/>
            <w:tcBorders>
              <w:top w:val="nil"/>
              <w:left w:val="nil"/>
              <w:bottom w:val="single" w:sz="4" w:space="0" w:color="C0C0C0"/>
              <w:right w:val="single" w:sz="4" w:space="0" w:color="000080"/>
            </w:tcBorders>
            <w:shd w:val="clear" w:color="auto" w:fill="auto"/>
            <w:noWrap/>
            <w:vAlign w:val="center"/>
            <w:hideMark/>
          </w:tcPr>
          <w:p w14:paraId="483B0A89"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5.592.660,36</w:t>
            </w:r>
          </w:p>
        </w:tc>
        <w:tc>
          <w:tcPr>
            <w:tcW w:w="967" w:type="dxa"/>
            <w:tcBorders>
              <w:top w:val="nil"/>
              <w:left w:val="nil"/>
              <w:bottom w:val="single" w:sz="4" w:space="0" w:color="C0C0C0"/>
              <w:right w:val="single" w:sz="4" w:space="0" w:color="000000"/>
            </w:tcBorders>
            <w:shd w:val="clear" w:color="auto" w:fill="auto"/>
            <w:noWrap/>
            <w:vAlign w:val="center"/>
            <w:hideMark/>
          </w:tcPr>
          <w:p w14:paraId="1C10003D"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323,0</w:t>
            </w:r>
          </w:p>
        </w:tc>
      </w:tr>
      <w:tr w:rsidR="00F774AD" w:rsidRPr="00F774AD" w14:paraId="3766BCD3"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6239EC9C" w14:textId="77777777" w:rsidR="00F774AD" w:rsidRPr="00F774AD" w:rsidRDefault="00F774AD" w:rsidP="00F774AD">
            <w:pPr>
              <w:rPr>
                <w:rFonts w:ascii="Arial" w:hAnsi="Arial" w:cs="Arial"/>
                <w:sz w:val="18"/>
                <w:szCs w:val="18"/>
              </w:rPr>
            </w:pPr>
            <w:r w:rsidRPr="00F774AD">
              <w:rPr>
                <w:rFonts w:ascii="Arial" w:hAnsi="Arial" w:cs="Arial"/>
                <w:sz w:val="18"/>
                <w:szCs w:val="18"/>
              </w:rPr>
              <w:t>96</w:t>
            </w:r>
          </w:p>
        </w:tc>
        <w:tc>
          <w:tcPr>
            <w:tcW w:w="8766" w:type="dxa"/>
            <w:tcBorders>
              <w:top w:val="nil"/>
              <w:left w:val="nil"/>
              <w:bottom w:val="single" w:sz="4" w:space="0" w:color="C0C0C0"/>
              <w:right w:val="single" w:sz="4" w:space="0" w:color="000080"/>
            </w:tcBorders>
            <w:shd w:val="clear" w:color="auto" w:fill="auto"/>
            <w:vAlign w:val="center"/>
            <w:hideMark/>
          </w:tcPr>
          <w:p w14:paraId="63370618" w14:textId="77777777" w:rsidR="00F774AD" w:rsidRPr="00F774AD" w:rsidRDefault="00F774AD" w:rsidP="00F774AD">
            <w:pPr>
              <w:rPr>
                <w:rFonts w:ascii="Arial" w:hAnsi="Arial" w:cs="Arial"/>
                <w:sz w:val="18"/>
                <w:szCs w:val="18"/>
              </w:rPr>
            </w:pPr>
            <w:r w:rsidRPr="00F774AD">
              <w:rPr>
                <w:rFonts w:ascii="Arial" w:hAnsi="Arial" w:cs="Arial"/>
                <w:sz w:val="18"/>
                <w:szCs w:val="18"/>
              </w:rPr>
              <w:t>Obračunati prihodi poslovanja (šifre 961 do 963 + 964 do 968)</w:t>
            </w:r>
          </w:p>
        </w:tc>
        <w:tc>
          <w:tcPr>
            <w:tcW w:w="717" w:type="dxa"/>
            <w:tcBorders>
              <w:top w:val="nil"/>
              <w:left w:val="nil"/>
              <w:bottom w:val="single" w:sz="4" w:space="0" w:color="C0C0C0"/>
              <w:right w:val="single" w:sz="4" w:space="0" w:color="000080"/>
            </w:tcBorders>
            <w:shd w:val="clear" w:color="auto" w:fill="auto"/>
            <w:vAlign w:val="center"/>
            <w:hideMark/>
          </w:tcPr>
          <w:p w14:paraId="50F1B65C"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96</w:t>
            </w:r>
          </w:p>
        </w:tc>
        <w:tc>
          <w:tcPr>
            <w:tcW w:w="1481" w:type="dxa"/>
            <w:tcBorders>
              <w:top w:val="nil"/>
              <w:left w:val="nil"/>
              <w:bottom w:val="single" w:sz="4" w:space="0" w:color="C0C0C0"/>
              <w:right w:val="single" w:sz="4" w:space="0" w:color="000080"/>
            </w:tcBorders>
            <w:shd w:val="clear" w:color="auto" w:fill="auto"/>
            <w:noWrap/>
            <w:vAlign w:val="center"/>
            <w:hideMark/>
          </w:tcPr>
          <w:p w14:paraId="63EDD9FC"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41.923.089,19</w:t>
            </w:r>
          </w:p>
        </w:tc>
        <w:tc>
          <w:tcPr>
            <w:tcW w:w="1462" w:type="dxa"/>
            <w:tcBorders>
              <w:top w:val="nil"/>
              <w:left w:val="nil"/>
              <w:bottom w:val="single" w:sz="4" w:space="0" w:color="C0C0C0"/>
              <w:right w:val="single" w:sz="4" w:space="0" w:color="000080"/>
            </w:tcBorders>
            <w:shd w:val="clear" w:color="auto" w:fill="auto"/>
            <w:noWrap/>
            <w:vAlign w:val="center"/>
            <w:hideMark/>
          </w:tcPr>
          <w:p w14:paraId="36D08E56"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112.863.379,55</w:t>
            </w:r>
          </w:p>
        </w:tc>
        <w:tc>
          <w:tcPr>
            <w:tcW w:w="967" w:type="dxa"/>
            <w:tcBorders>
              <w:top w:val="nil"/>
              <w:left w:val="nil"/>
              <w:bottom w:val="single" w:sz="4" w:space="0" w:color="C0C0C0"/>
              <w:right w:val="single" w:sz="4" w:space="0" w:color="000000"/>
            </w:tcBorders>
            <w:shd w:val="clear" w:color="auto" w:fill="auto"/>
            <w:noWrap/>
            <w:vAlign w:val="center"/>
            <w:hideMark/>
          </w:tcPr>
          <w:p w14:paraId="79F14165"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269,2</w:t>
            </w:r>
          </w:p>
        </w:tc>
      </w:tr>
      <w:tr w:rsidR="00F774AD" w:rsidRPr="00F774AD" w14:paraId="7C8F735A" w14:textId="77777777" w:rsidTr="00F774AD">
        <w:trPr>
          <w:trHeight w:val="480"/>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42CD73BA" w14:textId="77777777" w:rsidR="00F774AD" w:rsidRPr="00F774AD" w:rsidRDefault="00F774AD" w:rsidP="00F774AD">
            <w:pPr>
              <w:rPr>
                <w:rFonts w:ascii="Arial" w:hAnsi="Arial" w:cs="Arial"/>
                <w:sz w:val="18"/>
                <w:szCs w:val="18"/>
              </w:rPr>
            </w:pPr>
            <w:r w:rsidRPr="00F774AD">
              <w:rPr>
                <w:rFonts w:ascii="Arial" w:hAnsi="Arial" w:cs="Arial"/>
                <w:sz w:val="18"/>
                <w:szCs w:val="18"/>
              </w:rPr>
              <w:t>963</w:t>
            </w:r>
          </w:p>
        </w:tc>
        <w:tc>
          <w:tcPr>
            <w:tcW w:w="8766" w:type="dxa"/>
            <w:tcBorders>
              <w:top w:val="nil"/>
              <w:left w:val="nil"/>
              <w:bottom w:val="single" w:sz="4" w:space="0" w:color="C0C0C0"/>
              <w:right w:val="single" w:sz="4" w:space="0" w:color="000080"/>
            </w:tcBorders>
            <w:shd w:val="clear" w:color="auto" w:fill="auto"/>
            <w:vAlign w:val="center"/>
            <w:hideMark/>
          </w:tcPr>
          <w:p w14:paraId="5EDD8102" w14:textId="77777777" w:rsidR="00F774AD" w:rsidRPr="00F774AD" w:rsidRDefault="00F774AD" w:rsidP="00F774AD">
            <w:pPr>
              <w:rPr>
                <w:rFonts w:ascii="Arial" w:hAnsi="Arial" w:cs="Arial"/>
                <w:sz w:val="18"/>
                <w:szCs w:val="18"/>
              </w:rPr>
            </w:pPr>
            <w:r w:rsidRPr="00F774AD">
              <w:rPr>
                <w:rFonts w:ascii="Arial" w:hAnsi="Arial" w:cs="Arial"/>
                <w:sz w:val="18"/>
                <w:szCs w:val="18"/>
              </w:rPr>
              <w:t>Obračunate pomoći iz inozemstva i od subjekata unutar općeg proračuna (šifre 9631 do 9638)</w:t>
            </w:r>
          </w:p>
        </w:tc>
        <w:tc>
          <w:tcPr>
            <w:tcW w:w="717" w:type="dxa"/>
            <w:tcBorders>
              <w:top w:val="nil"/>
              <w:left w:val="nil"/>
              <w:bottom w:val="single" w:sz="4" w:space="0" w:color="C0C0C0"/>
              <w:right w:val="single" w:sz="4" w:space="0" w:color="000080"/>
            </w:tcBorders>
            <w:shd w:val="clear" w:color="auto" w:fill="auto"/>
            <w:vAlign w:val="center"/>
            <w:hideMark/>
          </w:tcPr>
          <w:p w14:paraId="72AB0CC7"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963</w:t>
            </w:r>
          </w:p>
        </w:tc>
        <w:tc>
          <w:tcPr>
            <w:tcW w:w="1481" w:type="dxa"/>
            <w:tcBorders>
              <w:top w:val="nil"/>
              <w:left w:val="nil"/>
              <w:bottom w:val="single" w:sz="4" w:space="0" w:color="C0C0C0"/>
              <w:right w:val="single" w:sz="4" w:space="0" w:color="000080"/>
            </w:tcBorders>
            <w:shd w:val="clear" w:color="auto" w:fill="auto"/>
            <w:noWrap/>
            <w:vAlign w:val="center"/>
            <w:hideMark/>
          </w:tcPr>
          <w:p w14:paraId="27163371"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537.803,90</w:t>
            </w:r>
          </w:p>
        </w:tc>
        <w:tc>
          <w:tcPr>
            <w:tcW w:w="1462" w:type="dxa"/>
            <w:tcBorders>
              <w:top w:val="nil"/>
              <w:left w:val="nil"/>
              <w:bottom w:val="single" w:sz="4" w:space="0" w:color="C0C0C0"/>
              <w:right w:val="single" w:sz="4" w:space="0" w:color="000080"/>
            </w:tcBorders>
            <w:shd w:val="clear" w:color="auto" w:fill="auto"/>
            <w:noWrap/>
            <w:vAlign w:val="center"/>
            <w:hideMark/>
          </w:tcPr>
          <w:p w14:paraId="19C0475A"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530.073,96</w:t>
            </w:r>
          </w:p>
        </w:tc>
        <w:tc>
          <w:tcPr>
            <w:tcW w:w="967" w:type="dxa"/>
            <w:tcBorders>
              <w:top w:val="nil"/>
              <w:left w:val="nil"/>
              <w:bottom w:val="single" w:sz="4" w:space="0" w:color="C0C0C0"/>
              <w:right w:val="single" w:sz="4" w:space="0" w:color="000000"/>
            </w:tcBorders>
            <w:shd w:val="clear" w:color="auto" w:fill="auto"/>
            <w:noWrap/>
            <w:vAlign w:val="center"/>
            <w:hideMark/>
          </w:tcPr>
          <w:p w14:paraId="007DFE3F"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98,6</w:t>
            </w:r>
          </w:p>
        </w:tc>
      </w:tr>
      <w:tr w:rsidR="00F774AD" w:rsidRPr="00F774AD" w14:paraId="23E3E867"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264933F1" w14:textId="77777777" w:rsidR="00F774AD" w:rsidRPr="00F774AD" w:rsidRDefault="00F774AD" w:rsidP="00F774AD">
            <w:pPr>
              <w:rPr>
                <w:rFonts w:ascii="Arial" w:hAnsi="Arial" w:cs="Arial"/>
                <w:sz w:val="18"/>
                <w:szCs w:val="18"/>
              </w:rPr>
            </w:pPr>
            <w:r w:rsidRPr="00F774AD">
              <w:rPr>
                <w:rFonts w:ascii="Arial" w:hAnsi="Arial" w:cs="Arial"/>
                <w:sz w:val="18"/>
                <w:szCs w:val="18"/>
              </w:rPr>
              <w:t>9631</w:t>
            </w:r>
          </w:p>
        </w:tc>
        <w:tc>
          <w:tcPr>
            <w:tcW w:w="8766" w:type="dxa"/>
            <w:tcBorders>
              <w:top w:val="nil"/>
              <w:left w:val="nil"/>
              <w:bottom w:val="single" w:sz="4" w:space="0" w:color="C0C0C0"/>
              <w:right w:val="single" w:sz="4" w:space="0" w:color="000080"/>
            </w:tcBorders>
            <w:shd w:val="clear" w:color="auto" w:fill="auto"/>
            <w:vAlign w:val="center"/>
            <w:hideMark/>
          </w:tcPr>
          <w:p w14:paraId="615A674F" w14:textId="77777777" w:rsidR="00F774AD" w:rsidRPr="00F774AD" w:rsidRDefault="00F774AD" w:rsidP="00F774AD">
            <w:pPr>
              <w:rPr>
                <w:rFonts w:ascii="Arial" w:hAnsi="Arial" w:cs="Arial"/>
                <w:sz w:val="18"/>
                <w:szCs w:val="18"/>
              </w:rPr>
            </w:pPr>
            <w:r w:rsidRPr="00F774AD">
              <w:rPr>
                <w:rFonts w:ascii="Arial" w:hAnsi="Arial" w:cs="Arial"/>
                <w:sz w:val="18"/>
                <w:szCs w:val="18"/>
              </w:rPr>
              <w:t xml:space="preserve">Pomoći od inozemnih vlada </w:t>
            </w:r>
          </w:p>
        </w:tc>
        <w:tc>
          <w:tcPr>
            <w:tcW w:w="717" w:type="dxa"/>
            <w:tcBorders>
              <w:top w:val="nil"/>
              <w:left w:val="nil"/>
              <w:bottom w:val="single" w:sz="4" w:space="0" w:color="C0C0C0"/>
              <w:right w:val="single" w:sz="4" w:space="0" w:color="000080"/>
            </w:tcBorders>
            <w:shd w:val="clear" w:color="auto" w:fill="auto"/>
            <w:vAlign w:val="center"/>
            <w:hideMark/>
          </w:tcPr>
          <w:p w14:paraId="643A3BD5"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9631</w:t>
            </w:r>
          </w:p>
        </w:tc>
        <w:tc>
          <w:tcPr>
            <w:tcW w:w="1481" w:type="dxa"/>
            <w:tcBorders>
              <w:top w:val="nil"/>
              <w:left w:val="nil"/>
              <w:bottom w:val="single" w:sz="4" w:space="0" w:color="C0C0C0"/>
              <w:right w:val="single" w:sz="4" w:space="0" w:color="000080"/>
            </w:tcBorders>
            <w:shd w:val="clear" w:color="auto" w:fill="auto"/>
            <w:noWrap/>
            <w:vAlign w:val="center"/>
            <w:hideMark/>
          </w:tcPr>
          <w:p w14:paraId="29163711"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 </w:t>
            </w:r>
          </w:p>
        </w:tc>
        <w:tc>
          <w:tcPr>
            <w:tcW w:w="1462" w:type="dxa"/>
            <w:tcBorders>
              <w:top w:val="nil"/>
              <w:left w:val="nil"/>
              <w:bottom w:val="single" w:sz="4" w:space="0" w:color="C0C0C0"/>
              <w:right w:val="single" w:sz="4" w:space="0" w:color="000080"/>
            </w:tcBorders>
            <w:shd w:val="clear" w:color="auto" w:fill="auto"/>
            <w:noWrap/>
            <w:vAlign w:val="center"/>
            <w:hideMark/>
          </w:tcPr>
          <w:p w14:paraId="544B551A"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 </w:t>
            </w:r>
          </w:p>
        </w:tc>
        <w:tc>
          <w:tcPr>
            <w:tcW w:w="967" w:type="dxa"/>
            <w:tcBorders>
              <w:top w:val="nil"/>
              <w:left w:val="nil"/>
              <w:bottom w:val="single" w:sz="4" w:space="0" w:color="C0C0C0"/>
              <w:right w:val="single" w:sz="4" w:space="0" w:color="000000"/>
            </w:tcBorders>
            <w:shd w:val="clear" w:color="auto" w:fill="auto"/>
            <w:noWrap/>
            <w:vAlign w:val="center"/>
            <w:hideMark/>
          </w:tcPr>
          <w:p w14:paraId="690C9CB0"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w:t>
            </w:r>
          </w:p>
        </w:tc>
      </w:tr>
      <w:tr w:rsidR="00F774AD" w:rsidRPr="00F774AD" w14:paraId="252F140A"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7957706F" w14:textId="77777777" w:rsidR="00F774AD" w:rsidRPr="00F774AD" w:rsidRDefault="00F774AD" w:rsidP="00F774AD">
            <w:pPr>
              <w:rPr>
                <w:rFonts w:ascii="Arial" w:hAnsi="Arial" w:cs="Arial"/>
                <w:sz w:val="18"/>
                <w:szCs w:val="18"/>
              </w:rPr>
            </w:pPr>
            <w:r w:rsidRPr="00F774AD">
              <w:rPr>
                <w:rFonts w:ascii="Arial" w:hAnsi="Arial" w:cs="Arial"/>
                <w:sz w:val="18"/>
                <w:szCs w:val="18"/>
              </w:rPr>
              <w:t>9632</w:t>
            </w:r>
          </w:p>
        </w:tc>
        <w:tc>
          <w:tcPr>
            <w:tcW w:w="8766" w:type="dxa"/>
            <w:tcBorders>
              <w:top w:val="nil"/>
              <w:left w:val="nil"/>
              <w:bottom w:val="single" w:sz="4" w:space="0" w:color="C0C0C0"/>
              <w:right w:val="single" w:sz="4" w:space="0" w:color="000080"/>
            </w:tcBorders>
            <w:shd w:val="clear" w:color="auto" w:fill="auto"/>
            <w:vAlign w:val="center"/>
            <w:hideMark/>
          </w:tcPr>
          <w:p w14:paraId="2A815B4B" w14:textId="77777777" w:rsidR="00F774AD" w:rsidRPr="00F774AD" w:rsidRDefault="00F774AD" w:rsidP="00F774AD">
            <w:pPr>
              <w:rPr>
                <w:rFonts w:ascii="Arial" w:hAnsi="Arial" w:cs="Arial"/>
                <w:sz w:val="18"/>
                <w:szCs w:val="18"/>
              </w:rPr>
            </w:pPr>
            <w:r w:rsidRPr="00F774AD">
              <w:rPr>
                <w:rFonts w:ascii="Arial" w:hAnsi="Arial" w:cs="Arial"/>
                <w:sz w:val="18"/>
                <w:szCs w:val="18"/>
              </w:rPr>
              <w:t>Pomoći od međunarodnih organizacija te institucija i tijela EU</w:t>
            </w:r>
          </w:p>
        </w:tc>
        <w:tc>
          <w:tcPr>
            <w:tcW w:w="717" w:type="dxa"/>
            <w:tcBorders>
              <w:top w:val="nil"/>
              <w:left w:val="nil"/>
              <w:bottom w:val="single" w:sz="4" w:space="0" w:color="C0C0C0"/>
              <w:right w:val="single" w:sz="4" w:space="0" w:color="000080"/>
            </w:tcBorders>
            <w:shd w:val="clear" w:color="auto" w:fill="auto"/>
            <w:vAlign w:val="center"/>
            <w:hideMark/>
          </w:tcPr>
          <w:p w14:paraId="3F982796"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9632</w:t>
            </w:r>
          </w:p>
        </w:tc>
        <w:tc>
          <w:tcPr>
            <w:tcW w:w="1481" w:type="dxa"/>
            <w:tcBorders>
              <w:top w:val="nil"/>
              <w:left w:val="nil"/>
              <w:bottom w:val="single" w:sz="4" w:space="0" w:color="C0C0C0"/>
              <w:right w:val="single" w:sz="4" w:space="0" w:color="000080"/>
            </w:tcBorders>
            <w:shd w:val="clear" w:color="auto" w:fill="auto"/>
            <w:noWrap/>
            <w:vAlign w:val="center"/>
            <w:hideMark/>
          </w:tcPr>
          <w:p w14:paraId="4B336914"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537.803,90</w:t>
            </w:r>
          </w:p>
        </w:tc>
        <w:tc>
          <w:tcPr>
            <w:tcW w:w="1462" w:type="dxa"/>
            <w:tcBorders>
              <w:top w:val="nil"/>
              <w:left w:val="nil"/>
              <w:bottom w:val="single" w:sz="4" w:space="0" w:color="C0C0C0"/>
              <w:right w:val="single" w:sz="4" w:space="0" w:color="000080"/>
            </w:tcBorders>
            <w:shd w:val="clear" w:color="auto" w:fill="auto"/>
            <w:noWrap/>
            <w:vAlign w:val="center"/>
            <w:hideMark/>
          </w:tcPr>
          <w:p w14:paraId="0E52F7F7"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530.073,96</w:t>
            </w:r>
          </w:p>
        </w:tc>
        <w:tc>
          <w:tcPr>
            <w:tcW w:w="967" w:type="dxa"/>
            <w:tcBorders>
              <w:top w:val="nil"/>
              <w:left w:val="nil"/>
              <w:bottom w:val="single" w:sz="4" w:space="0" w:color="C0C0C0"/>
              <w:right w:val="single" w:sz="4" w:space="0" w:color="000000"/>
            </w:tcBorders>
            <w:shd w:val="clear" w:color="auto" w:fill="auto"/>
            <w:noWrap/>
            <w:vAlign w:val="center"/>
            <w:hideMark/>
          </w:tcPr>
          <w:p w14:paraId="1FFF6E16"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98,6</w:t>
            </w:r>
          </w:p>
        </w:tc>
      </w:tr>
      <w:tr w:rsidR="00F774AD" w:rsidRPr="00F774AD" w14:paraId="19997FC9"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5773E2F0" w14:textId="77777777" w:rsidR="00F774AD" w:rsidRPr="00F774AD" w:rsidRDefault="00F774AD" w:rsidP="00F774AD">
            <w:pPr>
              <w:rPr>
                <w:rFonts w:ascii="Arial" w:hAnsi="Arial" w:cs="Arial"/>
                <w:sz w:val="18"/>
                <w:szCs w:val="18"/>
              </w:rPr>
            </w:pPr>
            <w:r w:rsidRPr="00F774AD">
              <w:rPr>
                <w:rFonts w:ascii="Arial" w:hAnsi="Arial" w:cs="Arial"/>
                <w:sz w:val="18"/>
                <w:szCs w:val="18"/>
              </w:rPr>
              <w:t>964</w:t>
            </w:r>
          </w:p>
        </w:tc>
        <w:tc>
          <w:tcPr>
            <w:tcW w:w="8766" w:type="dxa"/>
            <w:tcBorders>
              <w:top w:val="nil"/>
              <w:left w:val="nil"/>
              <w:bottom w:val="single" w:sz="4" w:space="0" w:color="C0C0C0"/>
              <w:right w:val="single" w:sz="4" w:space="0" w:color="000080"/>
            </w:tcBorders>
            <w:shd w:val="clear" w:color="auto" w:fill="auto"/>
            <w:vAlign w:val="center"/>
            <w:hideMark/>
          </w:tcPr>
          <w:p w14:paraId="13D5E82F" w14:textId="77777777" w:rsidR="00F774AD" w:rsidRPr="00F774AD" w:rsidRDefault="00F774AD" w:rsidP="00F774AD">
            <w:pPr>
              <w:rPr>
                <w:rFonts w:ascii="Arial" w:hAnsi="Arial" w:cs="Arial"/>
                <w:sz w:val="18"/>
                <w:szCs w:val="18"/>
              </w:rPr>
            </w:pPr>
            <w:r w:rsidRPr="00F774AD">
              <w:rPr>
                <w:rFonts w:ascii="Arial" w:hAnsi="Arial" w:cs="Arial"/>
                <w:sz w:val="18"/>
                <w:szCs w:val="18"/>
              </w:rPr>
              <w:t>Obračunati prihodi od imovine</w:t>
            </w:r>
          </w:p>
        </w:tc>
        <w:tc>
          <w:tcPr>
            <w:tcW w:w="717" w:type="dxa"/>
            <w:tcBorders>
              <w:top w:val="nil"/>
              <w:left w:val="nil"/>
              <w:bottom w:val="single" w:sz="4" w:space="0" w:color="C0C0C0"/>
              <w:right w:val="single" w:sz="4" w:space="0" w:color="000080"/>
            </w:tcBorders>
            <w:shd w:val="clear" w:color="auto" w:fill="auto"/>
            <w:vAlign w:val="center"/>
            <w:hideMark/>
          </w:tcPr>
          <w:p w14:paraId="10390222"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964</w:t>
            </w:r>
          </w:p>
        </w:tc>
        <w:tc>
          <w:tcPr>
            <w:tcW w:w="1481" w:type="dxa"/>
            <w:tcBorders>
              <w:top w:val="nil"/>
              <w:left w:val="nil"/>
              <w:bottom w:val="single" w:sz="4" w:space="0" w:color="C0C0C0"/>
              <w:right w:val="single" w:sz="4" w:space="0" w:color="000080"/>
            </w:tcBorders>
            <w:shd w:val="clear" w:color="auto" w:fill="auto"/>
            <w:noWrap/>
            <w:vAlign w:val="center"/>
            <w:hideMark/>
          </w:tcPr>
          <w:p w14:paraId="76138886"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36.385.796,68</w:t>
            </w:r>
          </w:p>
        </w:tc>
        <w:tc>
          <w:tcPr>
            <w:tcW w:w="1462" w:type="dxa"/>
            <w:tcBorders>
              <w:top w:val="nil"/>
              <w:left w:val="nil"/>
              <w:bottom w:val="single" w:sz="4" w:space="0" w:color="C0C0C0"/>
              <w:right w:val="single" w:sz="4" w:space="0" w:color="000080"/>
            </w:tcBorders>
            <w:shd w:val="clear" w:color="auto" w:fill="auto"/>
            <w:noWrap/>
            <w:vAlign w:val="center"/>
            <w:hideMark/>
          </w:tcPr>
          <w:p w14:paraId="66696308"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34.908.178,45</w:t>
            </w:r>
          </w:p>
        </w:tc>
        <w:tc>
          <w:tcPr>
            <w:tcW w:w="967" w:type="dxa"/>
            <w:tcBorders>
              <w:top w:val="nil"/>
              <w:left w:val="nil"/>
              <w:bottom w:val="single" w:sz="4" w:space="0" w:color="C0C0C0"/>
              <w:right w:val="single" w:sz="4" w:space="0" w:color="000000"/>
            </w:tcBorders>
            <w:shd w:val="clear" w:color="auto" w:fill="auto"/>
            <w:noWrap/>
            <w:vAlign w:val="center"/>
            <w:hideMark/>
          </w:tcPr>
          <w:p w14:paraId="7409088A"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95,9</w:t>
            </w:r>
          </w:p>
        </w:tc>
      </w:tr>
      <w:tr w:rsidR="00F774AD" w:rsidRPr="00F774AD" w14:paraId="3D1A3759" w14:textId="77777777" w:rsidTr="00F774AD">
        <w:trPr>
          <w:trHeight w:val="480"/>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30C7F9FE" w14:textId="77777777" w:rsidR="00F774AD" w:rsidRPr="00F774AD" w:rsidRDefault="00F774AD" w:rsidP="00F774AD">
            <w:pPr>
              <w:rPr>
                <w:rFonts w:ascii="Arial" w:hAnsi="Arial" w:cs="Arial"/>
                <w:sz w:val="18"/>
                <w:szCs w:val="18"/>
              </w:rPr>
            </w:pPr>
            <w:r w:rsidRPr="00F774AD">
              <w:rPr>
                <w:rFonts w:ascii="Arial" w:hAnsi="Arial" w:cs="Arial"/>
                <w:sz w:val="18"/>
                <w:szCs w:val="18"/>
              </w:rPr>
              <w:t>965</w:t>
            </w:r>
          </w:p>
        </w:tc>
        <w:tc>
          <w:tcPr>
            <w:tcW w:w="8766" w:type="dxa"/>
            <w:tcBorders>
              <w:top w:val="nil"/>
              <w:left w:val="nil"/>
              <w:bottom w:val="single" w:sz="4" w:space="0" w:color="C0C0C0"/>
              <w:right w:val="single" w:sz="4" w:space="0" w:color="000080"/>
            </w:tcBorders>
            <w:shd w:val="clear" w:color="auto" w:fill="auto"/>
            <w:vAlign w:val="center"/>
            <w:hideMark/>
          </w:tcPr>
          <w:p w14:paraId="02CE530E" w14:textId="77777777" w:rsidR="00F774AD" w:rsidRPr="00F774AD" w:rsidRDefault="00F774AD" w:rsidP="00F774AD">
            <w:pPr>
              <w:rPr>
                <w:rFonts w:ascii="Arial" w:hAnsi="Arial" w:cs="Arial"/>
                <w:sz w:val="18"/>
                <w:szCs w:val="18"/>
              </w:rPr>
            </w:pPr>
            <w:r w:rsidRPr="00F774AD">
              <w:rPr>
                <w:rFonts w:ascii="Arial" w:hAnsi="Arial" w:cs="Arial"/>
                <w:sz w:val="18"/>
                <w:szCs w:val="18"/>
              </w:rPr>
              <w:t>Obračunati prihodi od upravnih i administrativnih pristojbi, pristojbi po posebnim propisima i naknada</w:t>
            </w:r>
          </w:p>
        </w:tc>
        <w:tc>
          <w:tcPr>
            <w:tcW w:w="717" w:type="dxa"/>
            <w:tcBorders>
              <w:top w:val="nil"/>
              <w:left w:val="nil"/>
              <w:bottom w:val="single" w:sz="4" w:space="0" w:color="C0C0C0"/>
              <w:right w:val="single" w:sz="4" w:space="0" w:color="000080"/>
            </w:tcBorders>
            <w:shd w:val="clear" w:color="auto" w:fill="auto"/>
            <w:vAlign w:val="center"/>
            <w:hideMark/>
          </w:tcPr>
          <w:p w14:paraId="4054E207"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965</w:t>
            </w:r>
          </w:p>
        </w:tc>
        <w:tc>
          <w:tcPr>
            <w:tcW w:w="1481" w:type="dxa"/>
            <w:tcBorders>
              <w:top w:val="nil"/>
              <w:left w:val="nil"/>
              <w:bottom w:val="single" w:sz="4" w:space="0" w:color="C0C0C0"/>
              <w:right w:val="single" w:sz="4" w:space="0" w:color="000080"/>
            </w:tcBorders>
            <w:shd w:val="clear" w:color="auto" w:fill="auto"/>
            <w:noWrap/>
            <w:vAlign w:val="center"/>
            <w:hideMark/>
          </w:tcPr>
          <w:p w14:paraId="13700B41"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1.102.010,93</w:t>
            </w:r>
          </w:p>
        </w:tc>
        <w:tc>
          <w:tcPr>
            <w:tcW w:w="1462" w:type="dxa"/>
            <w:tcBorders>
              <w:top w:val="nil"/>
              <w:left w:val="nil"/>
              <w:bottom w:val="single" w:sz="4" w:space="0" w:color="C0C0C0"/>
              <w:right w:val="single" w:sz="4" w:space="0" w:color="000080"/>
            </w:tcBorders>
            <w:shd w:val="clear" w:color="auto" w:fill="auto"/>
            <w:noWrap/>
            <w:vAlign w:val="center"/>
            <w:hideMark/>
          </w:tcPr>
          <w:p w14:paraId="4C6C6586"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308.509,18</w:t>
            </w:r>
          </w:p>
        </w:tc>
        <w:tc>
          <w:tcPr>
            <w:tcW w:w="967" w:type="dxa"/>
            <w:tcBorders>
              <w:top w:val="nil"/>
              <w:left w:val="nil"/>
              <w:bottom w:val="single" w:sz="4" w:space="0" w:color="C0C0C0"/>
              <w:right w:val="single" w:sz="4" w:space="0" w:color="000000"/>
            </w:tcBorders>
            <w:shd w:val="clear" w:color="auto" w:fill="auto"/>
            <w:noWrap/>
            <w:vAlign w:val="center"/>
            <w:hideMark/>
          </w:tcPr>
          <w:p w14:paraId="757FA642"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28,0</w:t>
            </w:r>
          </w:p>
        </w:tc>
      </w:tr>
      <w:tr w:rsidR="00F774AD" w:rsidRPr="00F774AD" w14:paraId="22CC2FF4"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31CA3776" w14:textId="77777777" w:rsidR="00F774AD" w:rsidRPr="00F774AD" w:rsidRDefault="00F774AD" w:rsidP="00F774AD">
            <w:pPr>
              <w:rPr>
                <w:rFonts w:ascii="Arial" w:hAnsi="Arial" w:cs="Arial"/>
                <w:sz w:val="18"/>
                <w:szCs w:val="18"/>
              </w:rPr>
            </w:pPr>
            <w:r w:rsidRPr="00F774AD">
              <w:rPr>
                <w:rFonts w:ascii="Arial" w:hAnsi="Arial" w:cs="Arial"/>
                <w:sz w:val="18"/>
                <w:szCs w:val="18"/>
              </w:rPr>
              <w:t>966</w:t>
            </w:r>
          </w:p>
        </w:tc>
        <w:tc>
          <w:tcPr>
            <w:tcW w:w="8766" w:type="dxa"/>
            <w:tcBorders>
              <w:top w:val="nil"/>
              <w:left w:val="nil"/>
              <w:bottom w:val="single" w:sz="4" w:space="0" w:color="C0C0C0"/>
              <w:right w:val="single" w:sz="4" w:space="0" w:color="000080"/>
            </w:tcBorders>
            <w:shd w:val="clear" w:color="auto" w:fill="auto"/>
            <w:vAlign w:val="center"/>
            <w:hideMark/>
          </w:tcPr>
          <w:p w14:paraId="35BE7373" w14:textId="77777777" w:rsidR="00F774AD" w:rsidRPr="00F774AD" w:rsidRDefault="00F774AD" w:rsidP="00F774AD">
            <w:pPr>
              <w:rPr>
                <w:rFonts w:ascii="Arial" w:hAnsi="Arial" w:cs="Arial"/>
                <w:sz w:val="18"/>
                <w:szCs w:val="18"/>
              </w:rPr>
            </w:pPr>
            <w:r w:rsidRPr="00F774AD">
              <w:rPr>
                <w:rFonts w:ascii="Arial" w:hAnsi="Arial" w:cs="Arial"/>
                <w:sz w:val="18"/>
                <w:szCs w:val="18"/>
              </w:rPr>
              <w:t>Obračunati ostali prihodi</w:t>
            </w:r>
          </w:p>
        </w:tc>
        <w:tc>
          <w:tcPr>
            <w:tcW w:w="717" w:type="dxa"/>
            <w:tcBorders>
              <w:top w:val="nil"/>
              <w:left w:val="nil"/>
              <w:bottom w:val="single" w:sz="4" w:space="0" w:color="C0C0C0"/>
              <w:right w:val="single" w:sz="4" w:space="0" w:color="000080"/>
            </w:tcBorders>
            <w:shd w:val="clear" w:color="auto" w:fill="auto"/>
            <w:vAlign w:val="center"/>
            <w:hideMark/>
          </w:tcPr>
          <w:p w14:paraId="665FC47D"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966</w:t>
            </w:r>
          </w:p>
        </w:tc>
        <w:tc>
          <w:tcPr>
            <w:tcW w:w="1481" w:type="dxa"/>
            <w:tcBorders>
              <w:top w:val="nil"/>
              <w:left w:val="nil"/>
              <w:bottom w:val="single" w:sz="4" w:space="0" w:color="C0C0C0"/>
              <w:right w:val="single" w:sz="4" w:space="0" w:color="000080"/>
            </w:tcBorders>
            <w:shd w:val="clear" w:color="auto" w:fill="auto"/>
            <w:noWrap/>
            <w:vAlign w:val="center"/>
            <w:hideMark/>
          </w:tcPr>
          <w:p w14:paraId="0301D4B8"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895.513,10</w:t>
            </w:r>
          </w:p>
        </w:tc>
        <w:tc>
          <w:tcPr>
            <w:tcW w:w="1462" w:type="dxa"/>
            <w:tcBorders>
              <w:top w:val="nil"/>
              <w:left w:val="nil"/>
              <w:bottom w:val="single" w:sz="4" w:space="0" w:color="C0C0C0"/>
              <w:right w:val="single" w:sz="4" w:space="0" w:color="000080"/>
            </w:tcBorders>
            <w:shd w:val="clear" w:color="auto" w:fill="auto"/>
            <w:noWrap/>
            <w:vAlign w:val="center"/>
            <w:hideMark/>
          </w:tcPr>
          <w:p w14:paraId="784A3A22"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1.547.453,89</w:t>
            </w:r>
          </w:p>
        </w:tc>
        <w:tc>
          <w:tcPr>
            <w:tcW w:w="967" w:type="dxa"/>
            <w:tcBorders>
              <w:top w:val="nil"/>
              <w:left w:val="nil"/>
              <w:bottom w:val="single" w:sz="4" w:space="0" w:color="C0C0C0"/>
              <w:right w:val="single" w:sz="4" w:space="0" w:color="000000"/>
            </w:tcBorders>
            <w:shd w:val="clear" w:color="auto" w:fill="auto"/>
            <w:noWrap/>
            <w:vAlign w:val="center"/>
            <w:hideMark/>
          </w:tcPr>
          <w:p w14:paraId="52A51966"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172,8</w:t>
            </w:r>
          </w:p>
        </w:tc>
      </w:tr>
      <w:tr w:rsidR="00F774AD" w:rsidRPr="00F774AD" w14:paraId="658A7D65"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4356FBE4" w14:textId="77777777" w:rsidR="00F774AD" w:rsidRPr="00F774AD" w:rsidRDefault="00F774AD" w:rsidP="00F774AD">
            <w:pPr>
              <w:rPr>
                <w:rFonts w:ascii="Arial" w:hAnsi="Arial" w:cs="Arial"/>
                <w:sz w:val="18"/>
                <w:szCs w:val="18"/>
              </w:rPr>
            </w:pPr>
            <w:r w:rsidRPr="00F774AD">
              <w:rPr>
                <w:rFonts w:ascii="Arial" w:hAnsi="Arial" w:cs="Arial"/>
                <w:sz w:val="18"/>
                <w:szCs w:val="18"/>
              </w:rPr>
              <w:t>968</w:t>
            </w:r>
          </w:p>
        </w:tc>
        <w:tc>
          <w:tcPr>
            <w:tcW w:w="8766" w:type="dxa"/>
            <w:tcBorders>
              <w:top w:val="nil"/>
              <w:left w:val="nil"/>
              <w:bottom w:val="single" w:sz="4" w:space="0" w:color="C0C0C0"/>
              <w:right w:val="single" w:sz="4" w:space="0" w:color="000080"/>
            </w:tcBorders>
            <w:shd w:val="clear" w:color="auto" w:fill="auto"/>
            <w:vAlign w:val="center"/>
            <w:hideMark/>
          </w:tcPr>
          <w:p w14:paraId="7B0A2A26" w14:textId="77777777" w:rsidR="00F774AD" w:rsidRPr="00F774AD" w:rsidRDefault="00F774AD" w:rsidP="00F774AD">
            <w:pPr>
              <w:rPr>
                <w:rFonts w:ascii="Arial" w:hAnsi="Arial" w:cs="Arial"/>
                <w:sz w:val="18"/>
                <w:szCs w:val="18"/>
              </w:rPr>
            </w:pPr>
            <w:r w:rsidRPr="00F774AD">
              <w:rPr>
                <w:rFonts w:ascii="Arial" w:hAnsi="Arial" w:cs="Arial"/>
                <w:sz w:val="18"/>
                <w:szCs w:val="18"/>
              </w:rPr>
              <w:t>Kazne i upravne mjere te ostali prihodi</w:t>
            </w:r>
          </w:p>
        </w:tc>
        <w:tc>
          <w:tcPr>
            <w:tcW w:w="717" w:type="dxa"/>
            <w:tcBorders>
              <w:top w:val="nil"/>
              <w:left w:val="nil"/>
              <w:bottom w:val="single" w:sz="4" w:space="0" w:color="C0C0C0"/>
              <w:right w:val="single" w:sz="4" w:space="0" w:color="000080"/>
            </w:tcBorders>
            <w:shd w:val="clear" w:color="auto" w:fill="auto"/>
            <w:vAlign w:val="center"/>
            <w:hideMark/>
          </w:tcPr>
          <w:p w14:paraId="4FFFE937"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968</w:t>
            </w:r>
          </w:p>
        </w:tc>
        <w:tc>
          <w:tcPr>
            <w:tcW w:w="1481" w:type="dxa"/>
            <w:tcBorders>
              <w:top w:val="nil"/>
              <w:left w:val="nil"/>
              <w:bottom w:val="single" w:sz="4" w:space="0" w:color="C0C0C0"/>
              <w:right w:val="single" w:sz="4" w:space="0" w:color="000080"/>
            </w:tcBorders>
            <w:shd w:val="clear" w:color="auto" w:fill="auto"/>
            <w:noWrap/>
            <w:vAlign w:val="center"/>
            <w:hideMark/>
          </w:tcPr>
          <w:p w14:paraId="27A2D519"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3.001.964,58</w:t>
            </w:r>
          </w:p>
        </w:tc>
        <w:tc>
          <w:tcPr>
            <w:tcW w:w="1462" w:type="dxa"/>
            <w:tcBorders>
              <w:top w:val="nil"/>
              <w:left w:val="nil"/>
              <w:bottom w:val="single" w:sz="4" w:space="0" w:color="C0C0C0"/>
              <w:right w:val="single" w:sz="4" w:space="0" w:color="000080"/>
            </w:tcBorders>
            <w:shd w:val="clear" w:color="auto" w:fill="auto"/>
            <w:noWrap/>
            <w:vAlign w:val="center"/>
            <w:hideMark/>
          </w:tcPr>
          <w:p w14:paraId="2CD5EC10"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75.569.164,07</w:t>
            </w:r>
          </w:p>
        </w:tc>
        <w:tc>
          <w:tcPr>
            <w:tcW w:w="967" w:type="dxa"/>
            <w:tcBorders>
              <w:top w:val="nil"/>
              <w:left w:val="nil"/>
              <w:bottom w:val="single" w:sz="4" w:space="0" w:color="C0C0C0"/>
              <w:right w:val="single" w:sz="4" w:space="0" w:color="000000"/>
            </w:tcBorders>
            <w:shd w:val="clear" w:color="auto" w:fill="auto"/>
            <w:noWrap/>
            <w:vAlign w:val="center"/>
            <w:hideMark/>
          </w:tcPr>
          <w:p w14:paraId="25CDDC55"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2.517,3</w:t>
            </w:r>
          </w:p>
        </w:tc>
      </w:tr>
      <w:tr w:rsidR="00F774AD" w:rsidRPr="00F774AD" w14:paraId="163A60F3"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317954D1" w14:textId="77777777" w:rsidR="00F774AD" w:rsidRPr="00F774AD" w:rsidRDefault="00F774AD" w:rsidP="00F774AD">
            <w:pPr>
              <w:rPr>
                <w:rFonts w:ascii="Arial" w:hAnsi="Arial" w:cs="Arial"/>
                <w:sz w:val="18"/>
                <w:szCs w:val="18"/>
              </w:rPr>
            </w:pPr>
            <w:r w:rsidRPr="00F774AD">
              <w:rPr>
                <w:rFonts w:ascii="Arial" w:hAnsi="Arial" w:cs="Arial"/>
                <w:sz w:val="18"/>
                <w:szCs w:val="18"/>
              </w:rPr>
              <w:t>991</w:t>
            </w:r>
          </w:p>
        </w:tc>
        <w:tc>
          <w:tcPr>
            <w:tcW w:w="8766" w:type="dxa"/>
            <w:tcBorders>
              <w:top w:val="nil"/>
              <w:left w:val="nil"/>
              <w:bottom w:val="single" w:sz="4" w:space="0" w:color="C0C0C0"/>
              <w:right w:val="single" w:sz="4" w:space="0" w:color="000080"/>
            </w:tcBorders>
            <w:shd w:val="clear" w:color="auto" w:fill="auto"/>
            <w:vAlign w:val="center"/>
            <w:hideMark/>
          </w:tcPr>
          <w:p w14:paraId="16B79F5C" w14:textId="77777777" w:rsidR="00F774AD" w:rsidRPr="00F774AD" w:rsidRDefault="00F774AD" w:rsidP="00F774AD">
            <w:pPr>
              <w:rPr>
                <w:rFonts w:ascii="Arial" w:hAnsi="Arial" w:cs="Arial"/>
                <w:sz w:val="18"/>
                <w:szCs w:val="18"/>
              </w:rPr>
            </w:pPr>
            <w:proofErr w:type="spellStart"/>
            <w:r w:rsidRPr="00F774AD">
              <w:rPr>
                <w:rFonts w:ascii="Arial" w:hAnsi="Arial" w:cs="Arial"/>
                <w:sz w:val="18"/>
                <w:szCs w:val="18"/>
              </w:rPr>
              <w:t>Izvanbilančni</w:t>
            </w:r>
            <w:proofErr w:type="spellEnd"/>
            <w:r w:rsidRPr="00F774AD">
              <w:rPr>
                <w:rFonts w:ascii="Arial" w:hAnsi="Arial" w:cs="Arial"/>
                <w:sz w:val="18"/>
                <w:szCs w:val="18"/>
              </w:rPr>
              <w:t xml:space="preserve"> zapisi - aktiva (šifra 996)</w:t>
            </w:r>
          </w:p>
        </w:tc>
        <w:tc>
          <w:tcPr>
            <w:tcW w:w="717" w:type="dxa"/>
            <w:tcBorders>
              <w:top w:val="nil"/>
              <w:left w:val="nil"/>
              <w:bottom w:val="single" w:sz="4" w:space="0" w:color="C0C0C0"/>
              <w:right w:val="single" w:sz="4" w:space="0" w:color="000080"/>
            </w:tcBorders>
            <w:shd w:val="clear" w:color="auto" w:fill="auto"/>
            <w:vAlign w:val="center"/>
            <w:hideMark/>
          </w:tcPr>
          <w:p w14:paraId="1D694033"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991</w:t>
            </w:r>
          </w:p>
        </w:tc>
        <w:tc>
          <w:tcPr>
            <w:tcW w:w="1481" w:type="dxa"/>
            <w:tcBorders>
              <w:top w:val="nil"/>
              <w:left w:val="nil"/>
              <w:bottom w:val="single" w:sz="4" w:space="0" w:color="C0C0C0"/>
              <w:right w:val="single" w:sz="4" w:space="0" w:color="000080"/>
            </w:tcBorders>
            <w:shd w:val="clear" w:color="auto" w:fill="auto"/>
            <w:noWrap/>
            <w:vAlign w:val="center"/>
            <w:hideMark/>
          </w:tcPr>
          <w:p w14:paraId="69D0ABB5"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1.821.414.705,91</w:t>
            </w:r>
          </w:p>
        </w:tc>
        <w:tc>
          <w:tcPr>
            <w:tcW w:w="1462" w:type="dxa"/>
            <w:tcBorders>
              <w:top w:val="nil"/>
              <w:left w:val="nil"/>
              <w:bottom w:val="single" w:sz="4" w:space="0" w:color="C0C0C0"/>
              <w:right w:val="single" w:sz="4" w:space="0" w:color="000080"/>
            </w:tcBorders>
            <w:shd w:val="clear" w:color="auto" w:fill="auto"/>
            <w:noWrap/>
            <w:vAlign w:val="center"/>
            <w:hideMark/>
          </w:tcPr>
          <w:p w14:paraId="05582E07" w14:textId="77777777" w:rsidR="00F774AD" w:rsidRPr="00F774AD" w:rsidRDefault="00F774AD" w:rsidP="00F774AD">
            <w:pPr>
              <w:jc w:val="right"/>
              <w:rPr>
                <w:rFonts w:ascii="Arial" w:hAnsi="Arial" w:cs="Arial"/>
                <w:b/>
                <w:bCs/>
                <w:color w:val="002060"/>
                <w:sz w:val="16"/>
                <w:szCs w:val="16"/>
              </w:rPr>
            </w:pPr>
            <w:r w:rsidRPr="00F774AD">
              <w:rPr>
                <w:rFonts w:ascii="Arial" w:hAnsi="Arial" w:cs="Arial"/>
                <w:b/>
                <w:bCs/>
                <w:color w:val="002060"/>
                <w:sz w:val="16"/>
                <w:szCs w:val="16"/>
              </w:rPr>
              <w:t>2.401.469.404,01</w:t>
            </w:r>
          </w:p>
        </w:tc>
        <w:tc>
          <w:tcPr>
            <w:tcW w:w="967" w:type="dxa"/>
            <w:tcBorders>
              <w:top w:val="nil"/>
              <w:left w:val="nil"/>
              <w:bottom w:val="single" w:sz="4" w:space="0" w:color="C0C0C0"/>
              <w:right w:val="single" w:sz="4" w:space="0" w:color="000000"/>
            </w:tcBorders>
            <w:shd w:val="clear" w:color="auto" w:fill="auto"/>
            <w:noWrap/>
            <w:vAlign w:val="center"/>
            <w:hideMark/>
          </w:tcPr>
          <w:p w14:paraId="22EA6BE8"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131,8</w:t>
            </w:r>
          </w:p>
        </w:tc>
      </w:tr>
      <w:tr w:rsidR="00F774AD" w:rsidRPr="00F774AD" w14:paraId="00D306F1" w14:textId="77777777" w:rsidTr="00F774AD">
        <w:trPr>
          <w:trHeight w:val="255"/>
        </w:trPr>
        <w:tc>
          <w:tcPr>
            <w:tcW w:w="971" w:type="dxa"/>
            <w:tcBorders>
              <w:top w:val="nil"/>
              <w:left w:val="single" w:sz="4" w:space="0" w:color="000000"/>
              <w:bottom w:val="single" w:sz="4" w:space="0" w:color="000000"/>
              <w:right w:val="single" w:sz="4" w:space="0" w:color="000080"/>
            </w:tcBorders>
            <w:shd w:val="clear" w:color="auto" w:fill="auto"/>
            <w:vAlign w:val="center"/>
            <w:hideMark/>
          </w:tcPr>
          <w:p w14:paraId="58A6108F" w14:textId="77777777" w:rsidR="00F774AD" w:rsidRPr="00F774AD" w:rsidRDefault="00F774AD" w:rsidP="00F774AD">
            <w:pPr>
              <w:rPr>
                <w:rFonts w:ascii="Arial" w:hAnsi="Arial" w:cs="Arial"/>
                <w:sz w:val="18"/>
                <w:szCs w:val="18"/>
              </w:rPr>
            </w:pPr>
            <w:r w:rsidRPr="00F774AD">
              <w:rPr>
                <w:rFonts w:ascii="Arial" w:hAnsi="Arial" w:cs="Arial"/>
                <w:sz w:val="18"/>
                <w:szCs w:val="18"/>
              </w:rPr>
              <w:t>996</w:t>
            </w:r>
          </w:p>
        </w:tc>
        <w:tc>
          <w:tcPr>
            <w:tcW w:w="8766" w:type="dxa"/>
            <w:tcBorders>
              <w:top w:val="nil"/>
              <w:left w:val="nil"/>
              <w:bottom w:val="single" w:sz="4" w:space="0" w:color="000000"/>
              <w:right w:val="single" w:sz="4" w:space="0" w:color="000080"/>
            </w:tcBorders>
            <w:shd w:val="clear" w:color="auto" w:fill="auto"/>
            <w:vAlign w:val="center"/>
            <w:hideMark/>
          </w:tcPr>
          <w:p w14:paraId="75D62652" w14:textId="7BAA34F9" w:rsidR="00F774AD" w:rsidRPr="00F774AD" w:rsidRDefault="00F774AD" w:rsidP="00F774AD">
            <w:pPr>
              <w:rPr>
                <w:rFonts w:ascii="Arial" w:hAnsi="Arial" w:cs="Arial"/>
                <w:sz w:val="18"/>
                <w:szCs w:val="18"/>
              </w:rPr>
            </w:pPr>
            <w:proofErr w:type="spellStart"/>
            <w:r w:rsidRPr="00F774AD">
              <w:rPr>
                <w:rFonts w:ascii="Arial" w:hAnsi="Arial" w:cs="Arial"/>
                <w:sz w:val="18"/>
                <w:szCs w:val="18"/>
              </w:rPr>
              <w:t>Izvanbilančni</w:t>
            </w:r>
            <w:proofErr w:type="spellEnd"/>
            <w:r w:rsidRPr="00F774AD">
              <w:rPr>
                <w:rFonts w:ascii="Arial" w:hAnsi="Arial" w:cs="Arial"/>
                <w:sz w:val="18"/>
                <w:szCs w:val="18"/>
              </w:rPr>
              <w:t xml:space="preserve"> zapisi </w:t>
            </w:r>
            <w:r w:rsidR="00086FB4">
              <w:rPr>
                <w:rFonts w:ascii="Arial" w:hAnsi="Arial" w:cs="Arial"/>
                <w:sz w:val="18"/>
                <w:szCs w:val="18"/>
              </w:rPr>
              <w:t>–</w:t>
            </w:r>
            <w:r w:rsidRPr="00F774AD">
              <w:rPr>
                <w:rFonts w:ascii="Arial" w:hAnsi="Arial" w:cs="Arial"/>
                <w:sz w:val="18"/>
                <w:szCs w:val="18"/>
              </w:rPr>
              <w:t xml:space="preserve"> pasiva</w:t>
            </w:r>
          </w:p>
        </w:tc>
        <w:tc>
          <w:tcPr>
            <w:tcW w:w="717" w:type="dxa"/>
            <w:tcBorders>
              <w:top w:val="nil"/>
              <w:left w:val="nil"/>
              <w:bottom w:val="single" w:sz="4" w:space="0" w:color="C0C0C0"/>
              <w:right w:val="single" w:sz="4" w:space="0" w:color="000080"/>
            </w:tcBorders>
            <w:shd w:val="clear" w:color="auto" w:fill="auto"/>
            <w:vAlign w:val="center"/>
            <w:hideMark/>
          </w:tcPr>
          <w:p w14:paraId="338918F7"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996</w:t>
            </w:r>
          </w:p>
        </w:tc>
        <w:tc>
          <w:tcPr>
            <w:tcW w:w="1481" w:type="dxa"/>
            <w:tcBorders>
              <w:top w:val="nil"/>
              <w:left w:val="nil"/>
              <w:bottom w:val="single" w:sz="4" w:space="0" w:color="000000"/>
              <w:right w:val="single" w:sz="4" w:space="0" w:color="000080"/>
            </w:tcBorders>
            <w:shd w:val="clear" w:color="auto" w:fill="auto"/>
            <w:noWrap/>
            <w:vAlign w:val="center"/>
            <w:hideMark/>
          </w:tcPr>
          <w:p w14:paraId="2D8F9B44"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1.821.414.705,91</w:t>
            </w:r>
          </w:p>
        </w:tc>
        <w:tc>
          <w:tcPr>
            <w:tcW w:w="1462" w:type="dxa"/>
            <w:tcBorders>
              <w:top w:val="nil"/>
              <w:left w:val="nil"/>
              <w:bottom w:val="single" w:sz="4" w:space="0" w:color="000000"/>
              <w:right w:val="single" w:sz="4" w:space="0" w:color="000080"/>
            </w:tcBorders>
            <w:shd w:val="clear" w:color="auto" w:fill="auto"/>
            <w:noWrap/>
            <w:vAlign w:val="center"/>
            <w:hideMark/>
          </w:tcPr>
          <w:p w14:paraId="794449E1"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2.401.469.404,01</w:t>
            </w:r>
          </w:p>
        </w:tc>
        <w:tc>
          <w:tcPr>
            <w:tcW w:w="967" w:type="dxa"/>
            <w:tcBorders>
              <w:top w:val="nil"/>
              <w:left w:val="nil"/>
              <w:bottom w:val="single" w:sz="4" w:space="0" w:color="000000"/>
              <w:right w:val="single" w:sz="4" w:space="0" w:color="000000"/>
            </w:tcBorders>
            <w:shd w:val="clear" w:color="auto" w:fill="auto"/>
            <w:noWrap/>
            <w:vAlign w:val="center"/>
            <w:hideMark/>
          </w:tcPr>
          <w:p w14:paraId="4BD33632"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131,8</w:t>
            </w:r>
          </w:p>
        </w:tc>
      </w:tr>
      <w:tr w:rsidR="00F774AD" w:rsidRPr="00F774AD" w14:paraId="63C07046" w14:textId="77777777" w:rsidTr="00F774AD">
        <w:trPr>
          <w:trHeight w:val="402"/>
        </w:trPr>
        <w:tc>
          <w:tcPr>
            <w:tcW w:w="9737" w:type="dxa"/>
            <w:gridSpan w:val="2"/>
            <w:tcBorders>
              <w:top w:val="single" w:sz="4" w:space="0" w:color="000000"/>
              <w:left w:val="single" w:sz="4" w:space="0" w:color="000000"/>
              <w:bottom w:val="single" w:sz="4" w:space="0" w:color="C0C0C0"/>
              <w:right w:val="single" w:sz="4" w:space="0" w:color="000080"/>
            </w:tcBorders>
            <w:shd w:val="clear" w:color="DBE5F1" w:fill="DBE5F1"/>
            <w:noWrap/>
            <w:vAlign w:val="center"/>
            <w:hideMark/>
          </w:tcPr>
          <w:p w14:paraId="3ABDF8CF" w14:textId="77777777" w:rsidR="00F774AD" w:rsidRPr="00F774AD" w:rsidRDefault="00F774AD" w:rsidP="00F774AD">
            <w:pPr>
              <w:rPr>
                <w:rFonts w:ascii="Arial" w:hAnsi="Arial" w:cs="Arial"/>
                <w:b/>
                <w:bCs/>
              </w:rPr>
            </w:pPr>
            <w:r w:rsidRPr="00F774AD">
              <w:rPr>
                <w:rFonts w:ascii="Arial" w:hAnsi="Arial" w:cs="Arial"/>
                <w:b/>
                <w:bCs/>
              </w:rPr>
              <w:t>Obvezni analitički podaci</w:t>
            </w:r>
          </w:p>
        </w:tc>
        <w:tc>
          <w:tcPr>
            <w:tcW w:w="717" w:type="dxa"/>
            <w:tcBorders>
              <w:top w:val="single" w:sz="4" w:space="0" w:color="000000"/>
              <w:left w:val="nil"/>
              <w:bottom w:val="single" w:sz="4" w:space="0" w:color="C0C0C0"/>
              <w:right w:val="single" w:sz="4" w:space="0" w:color="000080"/>
            </w:tcBorders>
            <w:shd w:val="clear" w:color="DBE5F1" w:fill="DBE5F1"/>
            <w:noWrap/>
            <w:vAlign w:val="center"/>
            <w:hideMark/>
          </w:tcPr>
          <w:p w14:paraId="24FEEBF4" w14:textId="77777777" w:rsidR="00F774AD" w:rsidRPr="00F774AD" w:rsidRDefault="00F774AD" w:rsidP="00F774AD">
            <w:pPr>
              <w:rPr>
                <w:rFonts w:ascii="Arial" w:hAnsi="Arial" w:cs="Arial"/>
                <w:sz w:val="18"/>
                <w:szCs w:val="18"/>
              </w:rPr>
            </w:pPr>
            <w:r w:rsidRPr="00F774AD">
              <w:rPr>
                <w:rFonts w:ascii="Arial" w:hAnsi="Arial" w:cs="Arial"/>
                <w:sz w:val="18"/>
                <w:szCs w:val="18"/>
              </w:rPr>
              <w:t> </w:t>
            </w:r>
          </w:p>
        </w:tc>
        <w:tc>
          <w:tcPr>
            <w:tcW w:w="1481" w:type="dxa"/>
            <w:tcBorders>
              <w:top w:val="nil"/>
              <w:left w:val="nil"/>
              <w:bottom w:val="single" w:sz="4" w:space="0" w:color="C0C0C0"/>
              <w:right w:val="single" w:sz="4" w:space="0" w:color="000080"/>
            </w:tcBorders>
            <w:shd w:val="clear" w:color="DBE5F1" w:fill="DBE5F1"/>
            <w:noWrap/>
            <w:vAlign w:val="center"/>
            <w:hideMark/>
          </w:tcPr>
          <w:p w14:paraId="62AEAAE8" w14:textId="77777777" w:rsidR="00F774AD" w:rsidRPr="00F774AD" w:rsidRDefault="00F774AD" w:rsidP="00F774AD">
            <w:pPr>
              <w:rPr>
                <w:rFonts w:ascii="Arial" w:hAnsi="Arial" w:cs="Arial"/>
                <w:sz w:val="16"/>
                <w:szCs w:val="16"/>
              </w:rPr>
            </w:pPr>
            <w:r w:rsidRPr="00F774AD">
              <w:rPr>
                <w:rFonts w:ascii="Arial" w:hAnsi="Arial" w:cs="Arial"/>
                <w:sz w:val="16"/>
                <w:szCs w:val="16"/>
              </w:rPr>
              <w:t> </w:t>
            </w:r>
          </w:p>
        </w:tc>
        <w:tc>
          <w:tcPr>
            <w:tcW w:w="1462" w:type="dxa"/>
            <w:tcBorders>
              <w:top w:val="nil"/>
              <w:left w:val="nil"/>
              <w:bottom w:val="single" w:sz="4" w:space="0" w:color="C0C0C0"/>
              <w:right w:val="single" w:sz="4" w:space="0" w:color="000080"/>
            </w:tcBorders>
            <w:shd w:val="clear" w:color="DBE5F1" w:fill="DBE5F1"/>
            <w:noWrap/>
            <w:vAlign w:val="center"/>
            <w:hideMark/>
          </w:tcPr>
          <w:p w14:paraId="61DF7A1E" w14:textId="77777777" w:rsidR="00F774AD" w:rsidRPr="00F774AD" w:rsidRDefault="00F774AD" w:rsidP="00F774AD">
            <w:pPr>
              <w:rPr>
                <w:rFonts w:ascii="Arial" w:hAnsi="Arial" w:cs="Arial"/>
                <w:sz w:val="16"/>
                <w:szCs w:val="16"/>
              </w:rPr>
            </w:pPr>
            <w:r w:rsidRPr="00F774AD">
              <w:rPr>
                <w:rFonts w:ascii="Arial" w:hAnsi="Arial" w:cs="Arial"/>
                <w:sz w:val="16"/>
                <w:szCs w:val="16"/>
              </w:rPr>
              <w:t> </w:t>
            </w:r>
          </w:p>
        </w:tc>
        <w:tc>
          <w:tcPr>
            <w:tcW w:w="967" w:type="dxa"/>
            <w:tcBorders>
              <w:top w:val="nil"/>
              <w:left w:val="nil"/>
              <w:bottom w:val="single" w:sz="4" w:space="0" w:color="C0C0C0"/>
              <w:right w:val="single" w:sz="4" w:space="0" w:color="000000"/>
            </w:tcBorders>
            <w:shd w:val="clear" w:color="DBE5F1" w:fill="DBE5F1"/>
            <w:noWrap/>
            <w:vAlign w:val="center"/>
            <w:hideMark/>
          </w:tcPr>
          <w:p w14:paraId="555CCA0E" w14:textId="77777777" w:rsidR="00F774AD" w:rsidRPr="00F774AD" w:rsidRDefault="00F774AD" w:rsidP="00F774AD">
            <w:pPr>
              <w:rPr>
                <w:rFonts w:ascii="Arial" w:hAnsi="Arial" w:cs="Arial"/>
                <w:sz w:val="16"/>
                <w:szCs w:val="16"/>
              </w:rPr>
            </w:pPr>
            <w:r w:rsidRPr="00F774AD">
              <w:rPr>
                <w:rFonts w:ascii="Arial" w:hAnsi="Arial" w:cs="Arial"/>
                <w:sz w:val="16"/>
                <w:szCs w:val="16"/>
              </w:rPr>
              <w:t> </w:t>
            </w:r>
          </w:p>
        </w:tc>
      </w:tr>
      <w:tr w:rsidR="00F774AD" w:rsidRPr="00F774AD" w14:paraId="62CDD03C"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6780C9AE" w14:textId="77777777" w:rsidR="00F774AD" w:rsidRPr="00F774AD" w:rsidRDefault="00F774AD" w:rsidP="00F774AD">
            <w:pPr>
              <w:rPr>
                <w:rFonts w:ascii="Arial" w:hAnsi="Arial" w:cs="Arial"/>
                <w:sz w:val="18"/>
                <w:szCs w:val="18"/>
              </w:rPr>
            </w:pPr>
            <w:r w:rsidRPr="00F774AD">
              <w:rPr>
                <w:rFonts w:ascii="Arial" w:hAnsi="Arial" w:cs="Arial"/>
                <w:sz w:val="18"/>
                <w:szCs w:val="18"/>
              </w:rPr>
              <w:t>dio 13</w:t>
            </w:r>
          </w:p>
        </w:tc>
        <w:tc>
          <w:tcPr>
            <w:tcW w:w="8766" w:type="dxa"/>
            <w:tcBorders>
              <w:top w:val="nil"/>
              <w:left w:val="nil"/>
              <w:bottom w:val="single" w:sz="4" w:space="0" w:color="C0C0C0"/>
              <w:right w:val="single" w:sz="4" w:space="0" w:color="000080"/>
            </w:tcBorders>
            <w:shd w:val="clear" w:color="auto" w:fill="auto"/>
            <w:vAlign w:val="center"/>
            <w:hideMark/>
          </w:tcPr>
          <w:p w14:paraId="52C60DEC" w14:textId="4E7E182F" w:rsidR="00F774AD" w:rsidRPr="00F774AD" w:rsidRDefault="00F774AD" w:rsidP="00F774AD">
            <w:pPr>
              <w:rPr>
                <w:rFonts w:ascii="Arial" w:hAnsi="Arial" w:cs="Arial"/>
                <w:sz w:val="18"/>
                <w:szCs w:val="18"/>
              </w:rPr>
            </w:pPr>
            <w:r w:rsidRPr="00F774AD">
              <w:rPr>
                <w:rFonts w:ascii="Arial" w:hAnsi="Arial" w:cs="Arial"/>
                <w:sz w:val="18"/>
                <w:szCs w:val="18"/>
              </w:rPr>
              <w:t xml:space="preserve">Potraživanja za dane zajmove </w:t>
            </w:r>
            <w:r w:rsidR="00086FB4">
              <w:rPr>
                <w:rFonts w:ascii="Arial" w:hAnsi="Arial" w:cs="Arial"/>
                <w:sz w:val="18"/>
                <w:szCs w:val="18"/>
              </w:rPr>
              <w:t>–</w:t>
            </w:r>
            <w:r w:rsidRPr="00F774AD">
              <w:rPr>
                <w:rFonts w:ascii="Arial" w:hAnsi="Arial" w:cs="Arial"/>
                <w:sz w:val="18"/>
                <w:szCs w:val="18"/>
              </w:rPr>
              <w:t xml:space="preserve"> nedospjela</w:t>
            </w:r>
          </w:p>
        </w:tc>
        <w:tc>
          <w:tcPr>
            <w:tcW w:w="717" w:type="dxa"/>
            <w:tcBorders>
              <w:top w:val="nil"/>
              <w:left w:val="nil"/>
              <w:bottom w:val="single" w:sz="4" w:space="0" w:color="C0C0C0"/>
              <w:right w:val="single" w:sz="4" w:space="0" w:color="000080"/>
            </w:tcBorders>
            <w:shd w:val="clear" w:color="auto" w:fill="auto"/>
            <w:vAlign w:val="center"/>
            <w:hideMark/>
          </w:tcPr>
          <w:p w14:paraId="1310FE4A"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dio 13 N</w:t>
            </w:r>
          </w:p>
        </w:tc>
        <w:tc>
          <w:tcPr>
            <w:tcW w:w="1481" w:type="dxa"/>
            <w:tcBorders>
              <w:top w:val="nil"/>
              <w:left w:val="nil"/>
              <w:bottom w:val="single" w:sz="4" w:space="0" w:color="C0C0C0"/>
              <w:right w:val="single" w:sz="4" w:space="0" w:color="000080"/>
            </w:tcBorders>
            <w:shd w:val="clear" w:color="auto" w:fill="auto"/>
            <w:noWrap/>
            <w:vAlign w:val="center"/>
            <w:hideMark/>
          </w:tcPr>
          <w:p w14:paraId="0DF81169"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147.621.866,19</w:t>
            </w:r>
          </w:p>
        </w:tc>
        <w:tc>
          <w:tcPr>
            <w:tcW w:w="1462" w:type="dxa"/>
            <w:tcBorders>
              <w:top w:val="nil"/>
              <w:left w:val="nil"/>
              <w:bottom w:val="single" w:sz="4" w:space="0" w:color="C0C0C0"/>
              <w:right w:val="single" w:sz="4" w:space="0" w:color="000080"/>
            </w:tcBorders>
            <w:shd w:val="clear" w:color="auto" w:fill="auto"/>
            <w:noWrap/>
            <w:vAlign w:val="center"/>
            <w:hideMark/>
          </w:tcPr>
          <w:p w14:paraId="00C0A94A"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96.586.087,99</w:t>
            </w:r>
          </w:p>
        </w:tc>
        <w:tc>
          <w:tcPr>
            <w:tcW w:w="967" w:type="dxa"/>
            <w:tcBorders>
              <w:top w:val="nil"/>
              <w:left w:val="nil"/>
              <w:bottom w:val="single" w:sz="4" w:space="0" w:color="C0C0C0"/>
              <w:right w:val="single" w:sz="4" w:space="0" w:color="000000"/>
            </w:tcBorders>
            <w:shd w:val="clear" w:color="auto" w:fill="auto"/>
            <w:noWrap/>
            <w:vAlign w:val="center"/>
            <w:hideMark/>
          </w:tcPr>
          <w:p w14:paraId="7A2B1B93"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65,4</w:t>
            </w:r>
          </w:p>
        </w:tc>
      </w:tr>
      <w:tr w:rsidR="00F774AD" w:rsidRPr="00F774AD" w14:paraId="38D3CA72"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0CBA8084" w14:textId="77777777" w:rsidR="00F774AD" w:rsidRPr="00F774AD" w:rsidRDefault="00F774AD" w:rsidP="00F774AD">
            <w:pPr>
              <w:rPr>
                <w:rFonts w:ascii="Arial" w:hAnsi="Arial" w:cs="Arial"/>
                <w:sz w:val="18"/>
                <w:szCs w:val="18"/>
              </w:rPr>
            </w:pPr>
            <w:r w:rsidRPr="00F774AD">
              <w:rPr>
                <w:rFonts w:ascii="Arial" w:hAnsi="Arial" w:cs="Arial"/>
                <w:sz w:val="18"/>
                <w:szCs w:val="18"/>
              </w:rPr>
              <w:t>dio 16</w:t>
            </w:r>
          </w:p>
        </w:tc>
        <w:tc>
          <w:tcPr>
            <w:tcW w:w="8766" w:type="dxa"/>
            <w:tcBorders>
              <w:top w:val="nil"/>
              <w:left w:val="nil"/>
              <w:bottom w:val="single" w:sz="4" w:space="0" w:color="C0C0C0"/>
              <w:right w:val="single" w:sz="4" w:space="0" w:color="000080"/>
            </w:tcBorders>
            <w:shd w:val="clear" w:color="auto" w:fill="auto"/>
            <w:vAlign w:val="center"/>
            <w:hideMark/>
          </w:tcPr>
          <w:p w14:paraId="69E0FEF3" w14:textId="77777777" w:rsidR="00F774AD" w:rsidRPr="00F774AD" w:rsidRDefault="00F774AD" w:rsidP="00F774AD">
            <w:pPr>
              <w:rPr>
                <w:rFonts w:ascii="Arial" w:hAnsi="Arial" w:cs="Arial"/>
                <w:sz w:val="18"/>
                <w:szCs w:val="18"/>
              </w:rPr>
            </w:pPr>
            <w:r w:rsidRPr="00F774AD">
              <w:rPr>
                <w:rFonts w:ascii="Arial" w:hAnsi="Arial" w:cs="Arial"/>
                <w:sz w:val="18"/>
                <w:szCs w:val="18"/>
              </w:rPr>
              <w:t>Potraživanja za prihode poslovanja - dospjela</w:t>
            </w:r>
          </w:p>
        </w:tc>
        <w:tc>
          <w:tcPr>
            <w:tcW w:w="717" w:type="dxa"/>
            <w:tcBorders>
              <w:top w:val="nil"/>
              <w:left w:val="nil"/>
              <w:bottom w:val="single" w:sz="4" w:space="0" w:color="C0C0C0"/>
              <w:right w:val="single" w:sz="4" w:space="0" w:color="000080"/>
            </w:tcBorders>
            <w:shd w:val="clear" w:color="auto" w:fill="auto"/>
            <w:vAlign w:val="center"/>
            <w:hideMark/>
          </w:tcPr>
          <w:p w14:paraId="77A1968D"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dio 16 D</w:t>
            </w:r>
          </w:p>
        </w:tc>
        <w:tc>
          <w:tcPr>
            <w:tcW w:w="1481" w:type="dxa"/>
            <w:tcBorders>
              <w:top w:val="nil"/>
              <w:left w:val="nil"/>
              <w:bottom w:val="single" w:sz="4" w:space="0" w:color="C0C0C0"/>
              <w:right w:val="single" w:sz="4" w:space="0" w:color="000080"/>
            </w:tcBorders>
            <w:shd w:val="clear" w:color="auto" w:fill="auto"/>
            <w:noWrap/>
            <w:vAlign w:val="center"/>
            <w:hideMark/>
          </w:tcPr>
          <w:p w14:paraId="0D199D1B"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10.925.609,48</w:t>
            </w:r>
          </w:p>
        </w:tc>
        <w:tc>
          <w:tcPr>
            <w:tcW w:w="1462" w:type="dxa"/>
            <w:tcBorders>
              <w:top w:val="nil"/>
              <w:left w:val="nil"/>
              <w:bottom w:val="single" w:sz="4" w:space="0" w:color="C0C0C0"/>
              <w:right w:val="single" w:sz="4" w:space="0" w:color="000080"/>
            </w:tcBorders>
            <w:shd w:val="clear" w:color="auto" w:fill="auto"/>
            <w:noWrap/>
            <w:vAlign w:val="center"/>
            <w:hideMark/>
          </w:tcPr>
          <w:p w14:paraId="2AACCE48"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11.301.956,96</w:t>
            </w:r>
          </w:p>
        </w:tc>
        <w:tc>
          <w:tcPr>
            <w:tcW w:w="967" w:type="dxa"/>
            <w:tcBorders>
              <w:top w:val="nil"/>
              <w:left w:val="nil"/>
              <w:bottom w:val="single" w:sz="4" w:space="0" w:color="C0C0C0"/>
              <w:right w:val="single" w:sz="4" w:space="0" w:color="000000"/>
            </w:tcBorders>
            <w:shd w:val="clear" w:color="auto" w:fill="auto"/>
            <w:noWrap/>
            <w:vAlign w:val="center"/>
            <w:hideMark/>
          </w:tcPr>
          <w:p w14:paraId="42725FD8"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103,4</w:t>
            </w:r>
          </w:p>
        </w:tc>
      </w:tr>
      <w:tr w:rsidR="00F774AD" w:rsidRPr="00F774AD" w14:paraId="62FA5E6D"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300A3D40" w14:textId="77777777" w:rsidR="00F774AD" w:rsidRPr="00F774AD" w:rsidRDefault="00F774AD" w:rsidP="00F774AD">
            <w:pPr>
              <w:rPr>
                <w:rFonts w:ascii="Arial" w:hAnsi="Arial" w:cs="Arial"/>
                <w:sz w:val="18"/>
                <w:szCs w:val="18"/>
              </w:rPr>
            </w:pPr>
            <w:r w:rsidRPr="00F774AD">
              <w:rPr>
                <w:rFonts w:ascii="Arial" w:hAnsi="Arial" w:cs="Arial"/>
                <w:sz w:val="18"/>
                <w:szCs w:val="18"/>
              </w:rPr>
              <w:t>dio 16</w:t>
            </w:r>
          </w:p>
        </w:tc>
        <w:tc>
          <w:tcPr>
            <w:tcW w:w="8766" w:type="dxa"/>
            <w:tcBorders>
              <w:top w:val="nil"/>
              <w:left w:val="nil"/>
              <w:bottom w:val="single" w:sz="4" w:space="0" w:color="C0C0C0"/>
              <w:right w:val="single" w:sz="4" w:space="0" w:color="000080"/>
            </w:tcBorders>
            <w:shd w:val="clear" w:color="auto" w:fill="auto"/>
            <w:vAlign w:val="center"/>
            <w:hideMark/>
          </w:tcPr>
          <w:p w14:paraId="13DC7ED1" w14:textId="77777777" w:rsidR="00F774AD" w:rsidRPr="00F774AD" w:rsidRDefault="00F774AD" w:rsidP="00F774AD">
            <w:pPr>
              <w:rPr>
                <w:rFonts w:ascii="Arial" w:hAnsi="Arial" w:cs="Arial"/>
                <w:sz w:val="18"/>
                <w:szCs w:val="18"/>
              </w:rPr>
            </w:pPr>
            <w:r w:rsidRPr="00F774AD">
              <w:rPr>
                <w:rFonts w:ascii="Arial" w:hAnsi="Arial" w:cs="Arial"/>
                <w:sz w:val="18"/>
                <w:szCs w:val="18"/>
              </w:rPr>
              <w:t>Potraživanja za prihode poslovanja - nedospjela</w:t>
            </w:r>
          </w:p>
        </w:tc>
        <w:tc>
          <w:tcPr>
            <w:tcW w:w="717" w:type="dxa"/>
            <w:tcBorders>
              <w:top w:val="nil"/>
              <w:left w:val="nil"/>
              <w:bottom w:val="single" w:sz="4" w:space="0" w:color="C0C0C0"/>
              <w:right w:val="single" w:sz="4" w:space="0" w:color="000080"/>
            </w:tcBorders>
            <w:shd w:val="clear" w:color="auto" w:fill="auto"/>
            <w:vAlign w:val="center"/>
            <w:hideMark/>
          </w:tcPr>
          <w:p w14:paraId="0CF9E51B"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dio 16 N</w:t>
            </w:r>
          </w:p>
        </w:tc>
        <w:tc>
          <w:tcPr>
            <w:tcW w:w="1481" w:type="dxa"/>
            <w:tcBorders>
              <w:top w:val="nil"/>
              <w:left w:val="nil"/>
              <w:bottom w:val="single" w:sz="4" w:space="0" w:color="C0C0C0"/>
              <w:right w:val="single" w:sz="4" w:space="0" w:color="000080"/>
            </w:tcBorders>
            <w:shd w:val="clear" w:color="auto" w:fill="auto"/>
            <w:noWrap/>
            <w:vAlign w:val="center"/>
            <w:hideMark/>
          </w:tcPr>
          <w:p w14:paraId="69D6F3BB"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54.522.077,81</w:t>
            </w:r>
          </w:p>
        </w:tc>
        <w:tc>
          <w:tcPr>
            <w:tcW w:w="1462" w:type="dxa"/>
            <w:tcBorders>
              <w:top w:val="nil"/>
              <w:left w:val="nil"/>
              <w:bottom w:val="single" w:sz="4" w:space="0" w:color="C0C0C0"/>
              <w:right w:val="single" w:sz="4" w:space="0" w:color="000080"/>
            </w:tcBorders>
            <w:shd w:val="clear" w:color="auto" w:fill="auto"/>
            <w:noWrap/>
            <w:vAlign w:val="center"/>
            <w:hideMark/>
          </w:tcPr>
          <w:p w14:paraId="76512C3D"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118.296.501,18</w:t>
            </w:r>
          </w:p>
        </w:tc>
        <w:tc>
          <w:tcPr>
            <w:tcW w:w="967" w:type="dxa"/>
            <w:tcBorders>
              <w:top w:val="nil"/>
              <w:left w:val="nil"/>
              <w:bottom w:val="single" w:sz="4" w:space="0" w:color="C0C0C0"/>
              <w:right w:val="single" w:sz="4" w:space="0" w:color="000000"/>
            </w:tcBorders>
            <w:shd w:val="clear" w:color="auto" w:fill="auto"/>
            <w:noWrap/>
            <w:vAlign w:val="center"/>
            <w:hideMark/>
          </w:tcPr>
          <w:p w14:paraId="231B222A"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217,0</w:t>
            </w:r>
          </w:p>
        </w:tc>
      </w:tr>
      <w:tr w:rsidR="00F774AD" w:rsidRPr="00F774AD" w14:paraId="52B2F2B9"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25F9E57C" w14:textId="77777777" w:rsidR="00F774AD" w:rsidRPr="00F774AD" w:rsidRDefault="00F774AD" w:rsidP="00F774AD">
            <w:pPr>
              <w:rPr>
                <w:rFonts w:ascii="Arial" w:hAnsi="Arial" w:cs="Arial"/>
                <w:sz w:val="18"/>
                <w:szCs w:val="18"/>
              </w:rPr>
            </w:pPr>
            <w:r w:rsidRPr="00F774AD">
              <w:rPr>
                <w:rFonts w:ascii="Arial" w:hAnsi="Arial" w:cs="Arial"/>
                <w:sz w:val="18"/>
                <w:szCs w:val="18"/>
              </w:rPr>
              <w:t>12911</w:t>
            </w:r>
          </w:p>
        </w:tc>
        <w:tc>
          <w:tcPr>
            <w:tcW w:w="8766" w:type="dxa"/>
            <w:tcBorders>
              <w:top w:val="nil"/>
              <w:left w:val="nil"/>
              <w:bottom w:val="single" w:sz="4" w:space="0" w:color="C0C0C0"/>
              <w:right w:val="single" w:sz="4" w:space="0" w:color="000080"/>
            </w:tcBorders>
            <w:shd w:val="clear" w:color="auto" w:fill="auto"/>
            <w:vAlign w:val="center"/>
            <w:hideMark/>
          </w:tcPr>
          <w:p w14:paraId="7EE57C84" w14:textId="77777777" w:rsidR="00F774AD" w:rsidRPr="00F774AD" w:rsidRDefault="00F774AD" w:rsidP="00F774AD">
            <w:pPr>
              <w:rPr>
                <w:rFonts w:ascii="Arial" w:hAnsi="Arial" w:cs="Arial"/>
                <w:sz w:val="18"/>
                <w:szCs w:val="18"/>
              </w:rPr>
            </w:pPr>
            <w:r w:rsidRPr="00F774AD">
              <w:rPr>
                <w:rFonts w:ascii="Arial" w:hAnsi="Arial" w:cs="Arial"/>
                <w:sz w:val="18"/>
                <w:szCs w:val="18"/>
              </w:rPr>
              <w:t>Potraživanja za naknade koje se refundiraju</w:t>
            </w:r>
          </w:p>
        </w:tc>
        <w:tc>
          <w:tcPr>
            <w:tcW w:w="717" w:type="dxa"/>
            <w:tcBorders>
              <w:top w:val="nil"/>
              <w:left w:val="nil"/>
              <w:bottom w:val="single" w:sz="4" w:space="0" w:color="C0C0C0"/>
              <w:right w:val="single" w:sz="4" w:space="0" w:color="000080"/>
            </w:tcBorders>
            <w:shd w:val="clear" w:color="auto" w:fill="auto"/>
            <w:vAlign w:val="center"/>
            <w:hideMark/>
          </w:tcPr>
          <w:p w14:paraId="44E6D62E"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12911</w:t>
            </w:r>
          </w:p>
        </w:tc>
        <w:tc>
          <w:tcPr>
            <w:tcW w:w="1481" w:type="dxa"/>
            <w:tcBorders>
              <w:top w:val="nil"/>
              <w:left w:val="nil"/>
              <w:bottom w:val="single" w:sz="4" w:space="0" w:color="C0C0C0"/>
              <w:right w:val="single" w:sz="4" w:space="0" w:color="000080"/>
            </w:tcBorders>
            <w:shd w:val="clear" w:color="auto" w:fill="auto"/>
            <w:noWrap/>
            <w:vAlign w:val="center"/>
            <w:hideMark/>
          </w:tcPr>
          <w:p w14:paraId="66B370DC"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25.976,56</w:t>
            </w:r>
          </w:p>
        </w:tc>
        <w:tc>
          <w:tcPr>
            <w:tcW w:w="1462" w:type="dxa"/>
            <w:tcBorders>
              <w:top w:val="nil"/>
              <w:left w:val="nil"/>
              <w:bottom w:val="single" w:sz="4" w:space="0" w:color="C0C0C0"/>
              <w:right w:val="single" w:sz="4" w:space="0" w:color="000080"/>
            </w:tcBorders>
            <w:shd w:val="clear" w:color="auto" w:fill="auto"/>
            <w:noWrap/>
            <w:vAlign w:val="center"/>
            <w:hideMark/>
          </w:tcPr>
          <w:p w14:paraId="0CFD9313"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40.677,44</w:t>
            </w:r>
          </w:p>
        </w:tc>
        <w:tc>
          <w:tcPr>
            <w:tcW w:w="967" w:type="dxa"/>
            <w:tcBorders>
              <w:top w:val="nil"/>
              <w:left w:val="nil"/>
              <w:bottom w:val="single" w:sz="4" w:space="0" w:color="C0C0C0"/>
              <w:right w:val="single" w:sz="4" w:space="0" w:color="000000"/>
            </w:tcBorders>
            <w:shd w:val="clear" w:color="auto" w:fill="auto"/>
            <w:noWrap/>
            <w:vAlign w:val="center"/>
            <w:hideMark/>
          </w:tcPr>
          <w:p w14:paraId="76FFE9A2"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156,6</w:t>
            </w:r>
          </w:p>
        </w:tc>
      </w:tr>
      <w:tr w:rsidR="00F774AD" w:rsidRPr="00F774AD" w14:paraId="36E8FADC"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36167B40" w14:textId="77777777" w:rsidR="00F774AD" w:rsidRPr="00F774AD" w:rsidRDefault="00F774AD" w:rsidP="00F774AD">
            <w:pPr>
              <w:rPr>
                <w:rFonts w:ascii="Arial" w:hAnsi="Arial" w:cs="Arial"/>
                <w:sz w:val="18"/>
                <w:szCs w:val="18"/>
              </w:rPr>
            </w:pPr>
            <w:r w:rsidRPr="00F774AD">
              <w:rPr>
                <w:rFonts w:ascii="Arial" w:hAnsi="Arial" w:cs="Arial"/>
                <w:sz w:val="18"/>
                <w:szCs w:val="18"/>
              </w:rPr>
              <w:t>12912</w:t>
            </w:r>
          </w:p>
        </w:tc>
        <w:tc>
          <w:tcPr>
            <w:tcW w:w="8766" w:type="dxa"/>
            <w:tcBorders>
              <w:top w:val="nil"/>
              <w:left w:val="nil"/>
              <w:bottom w:val="single" w:sz="4" w:space="0" w:color="C0C0C0"/>
              <w:right w:val="single" w:sz="4" w:space="0" w:color="000080"/>
            </w:tcBorders>
            <w:shd w:val="clear" w:color="auto" w:fill="auto"/>
            <w:vAlign w:val="center"/>
            <w:hideMark/>
          </w:tcPr>
          <w:p w14:paraId="17830A23" w14:textId="77777777" w:rsidR="00F774AD" w:rsidRPr="00F774AD" w:rsidRDefault="00F774AD" w:rsidP="00F774AD">
            <w:pPr>
              <w:rPr>
                <w:rFonts w:ascii="Arial" w:hAnsi="Arial" w:cs="Arial"/>
                <w:sz w:val="18"/>
                <w:szCs w:val="18"/>
              </w:rPr>
            </w:pPr>
            <w:r w:rsidRPr="00F774AD">
              <w:rPr>
                <w:rFonts w:ascii="Arial" w:hAnsi="Arial" w:cs="Arial"/>
                <w:sz w:val="18"/>
                <w:szCs w:val="18"/>
              </w:rPr>
              <w:t>Potraživanja za predujmove</w:t>
            </w:r>
          </w:p>
        </w:tc>
        <w:tc>
          <w:tcPr>
            <w:tcW w:w="717" w:type="dxa"/>
            <w:tcBorders>
              <w:top w:val="nil"/>
              <w:left w:val="nil"/>
              <w:bottom w:val="single" w:sz="4" w:space="0" w:color="C0C0C0"/>
              <w:right w:val="single" w:sz="4" w:space="0" w:color="000080"/>
            </w:tcBorders>
            <w:shd w:val="clear" w:color="auto" w:fill="auto"/>
            <w:vAlign w:val="center"/>
            <w:hideMark/>
          </w:tcPr>
          <w:p w14:paraId="1928A9EC"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12912</w:t>
            </w:r>
          </w:p>
        </w:tc>
        <w:tc>
          <w:tcPr>
            <w:tcW w:w="1481" w:type="dxa"/>
            <w:tcBorders>
              <w:top w:val="nil"/>
              <w:left w:val="nil"/>
              <w:bottom w:val="single" w:sz="4" w:space="0" w:color="C0C0C0"/>
              <w:right w:val="single" w:sz="4" w:space="0" w:color="000080"/>
            </w:tcBorders>
            <w:shd w:val="clear" w:color="auto" w:fill="auto"/>
            <w:noWrap/>
            <w:vAlign w:val="center"/>
            <w:hideMark/>
          </w:tcPr>
          <w:p w14:paraId="480B87F8"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2.222.446,43</w:t>
            </w:r>
          </w:p>
        </w:tc>
        <w:tc>
          <w:tcPr>
            <w:tcW w:w="1462" w:type="dxa"/>
            <w:tcBorders>
              <w:top w:val="nil"/>
              <w:left w:val="nil"/>
              <w:bottom w:val="single" w:sz="4" w:space="0" w:color="C0C0C0"/>
              <w:right w:val="single" w:sz="4" w:space="0" w:color="000080"/>
            </w:tcBorders>
            <w:shd w:val="clear" w:color="auto" w:fill="auto"/>
            <w:noWrap/>
            <w:vAlign w:val="center"/>
            <w:hideMark/>
          </w:tcPr>
          <w:p w14:paraId="7D6C08A3"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16.157.177,51</w:t>
            </w:r>
          </w:p>
        </w:tc>
        <w:tc>
          <w:tcPr>
            <w:tcW w:w="967" w:type="dxa"/>
            <w:tcBorders>
              <w:top w:val="nil"/>
              <w:left w:val="nil"/>
              <w:bottom w:val="single" w:sz="4" w:space="0" w:color="C0C0C0"/>
              <w:right w:val="single" w:sz="4" w:space="0" w:color="000000"/>
            </w:tcBorders>
            <w:shd w:val="clear" w:color="auto" w:fill="auto"/>
            <w:noWrap/>
            <w:vAlign w:val="center"/>
            <w:hideMark/>
          </w:tcPr>
          <w:p w14:paraId="3494435C"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727,0</w:t>
            </w:r>
          </w:p>
        </w:tc>
      </w:tr>
      <w:tr w:rsidR="00F774AD" w:rsidRPr="00F774AD" w14:paraId="638B332D" w14:textId="77777777" w:rsidTr="00F774AD">
        <w:trPr>
          <w:trHeight w:val="480"/>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22ECACFB" w14:textId="77777777" w:rsidR="00F774AD" w:rsidRPr="00F774AD" w:rsidRDefault="00F774AD" w:rsidP="00F774AD">
            <w:pPr>
              <w:rPr>
                <w:rFonts w:ascii="Arial" w:hAnsi="Arial" w:cs="Arial"/>
                <w:sz w:val="18"/>
                <w:szCs w:val="18"/>
              </w:rPr>
            </w:pPr>
            <w:r w:rsidRPr="00F774AD">
              <w:rPr>
                <w:rFonts w:ascii="Arial" w:hAnsi="Arial" w:cs="Arial"/>
                <w:sz w:val="18"/>
                <w:szCs w:val="18"/>
              </w:rPr>
              <w:t>12913</w:t>
            </w:r>
          </w:p>
        </w:tc>
        <w:tc>
          <w:tcPr>
            <w:tcW w:w="8766" w:type="dxa"/>
            <w:tcBorders>
              <w:top w:val="nil"/>
              <w:left w:val="nil"/>
              <w:bottom w:val="single" w:sz="4" w:space="0" w:color="C0C0C0"/>
              <w:right w:val="single" w:sz="4" w:space="0" w:color="000080"/>
            </w:tcBorders>
            <w:shd w:val="clear" w:color="auto" w:fill="auto"/>
            <w:vAlign w:val="center"/>
            <w:hideMark/>
          </w:tcPr>
          <w:p w14:paraId="6CB4D19A" w14:textId="77777777" w:rsidR="00F774AD" w:rsidRPr="00F774AD" w:rsidRDefault="00F774AD" w:rsidP="00F774AD">
            <w:pPr>
              <w:rPr>
                <w:rFonts w:ascii="Arial" w:hAnsi="Arial" w:cs="Arial"/>
                <w:sz w:val="18"/>
                <w:szCs w:val="18"/>
              </w:rPr>
            </w:pPr>
            <w:r w:rsidRPr="00F774AD">
              <w:rPr>
                <w:rFonts w:ascii="Arial" w:hAnsi="Arial" w:cs="Arial"/>
                <w:sz w:val="18"/>
                <w:szCs w:val="18"/>
              </w:rPr>
              <w:t>Potraživanja za dane predujmove za EU projekte subjektima izvan općeg proračuna</w:t>
            </w:r>
          </w:p>
        </w:tc>
        <w:tc>
          <w:tcPr>
            <w:tcW w:w="717" w:type="dxa"/>
            <w:tcBorders>
              <w:top w:val="nil"/>
              <w:left w:val="nil"/>
              <w:bottom w:val="single" w:sz="4" w:space="0" w:color="C0C0C0"/>
              <w:right w:val="single" w:sz="4" w:space="0" w:color="000080"/>
            </w:tcBorders>
            <w:shd w:val="clear" w:color="auto" w:fill="auto"/>
            <w:vAlign w:val="center"/>
            <w:hideMark/>
          </w:tcPr>
          <w:p w14:paraId="6FD9F887"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12913</w:t>
            </w:r>
          </w:p>
        </w:tc>
        <w:tc>
          <w:tcPr>
            <w:tcW w:w="1481" w:type="dxa"/>
            <w:tcBorders>
              <w:top w:val="nil"/>
              <w:left w:val="nil"/>
              <w:bottom w:val="single" w:sz="4" w:space="0" w:color="C0C0C0"/>
              <w:right w:val="single" w:sz="4" w:space="0" w:color="000080"/>
            </w:tcBorders>
            <w:shd w:val="clear" w:color="auto" w:fill="auto"/>
            <w:noWrap/>
            <w:vAlign w:val="center"/>
            <w:hideMark/>
          </w:tcPr>
          <w:p w14:paraId="18204F5A"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2A90F05C"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86.570.913,40</w:t>
            </w:r>
          </w:p>
        </w:tc>
        <w:tc>
          <w:tcPr>
            <w:tcW w:w="967" w:type="dxa"/>
            <w:tcBorders>
              <w:top w:val="nil"/>
              <w:left w:val="nil"/>
              <w:bottom w:val="single" w:sz="4" w:space="0" w:color="C0C0C0"/>
              <w:right w:val="single" w:sz="4" w:space="0" w:color="000000"/>
            </w:tcBorders>
            <w:shd w:val="clear" w:color="auto" w:fill="auto"/>
            <w:noWrap/>
            <w:vAlign w:val="center"/>
            <w:hideMark/>
          </w:tcPr>
          <w:p w14:paraId="1561C9E6"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w:t>
            </w:r>
          </w:p>
        </w:tc>
      </w:tr>
      <w:tr w:rsidR="00F774AD" w:rsidRPr="00F774AD" w14:paraId="1B60CC34"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6E372F25" w14:textId="77777777" w:rsidR="00F774AD" w:rsidRPr="00F774AD" w:rsidRDefault="00F774AD" w:rsidP="00F774AD">
            <w:pPr>
              <w:rPr>
                <w:rFonts w:ascii="Arial" w:hAnsi="Arial" w:cs="Arial"/>
                <w:sz w:val="18"/>
                <w:szCs w:val="18"/>
              </w:rPr>
            </w:pPr>
            <w:r w:rsidRPr="00F774AD">
              <w:rPr>
                <w:rFonts w:ascii="Arial" w:hAnsi="Arial" w:cs="Arial"/>
                <w:sz w:val="18"/>
                <w:szCs w:val="18"/>
              </w:rPr>
              <w:t>12921</w:t>
            </w:r>
          </w:p>
        </w:tc>
        <w:tc>
          <w:tcPr>
            <w:tcW w:w="8766" w:type="dxa"/>
            <w:tcBorders>
              <w:top w:val="nil"/>
              <w:left w:val="nil"/>
              <w:bottom w:val="single" w:sz="4" w:space="0" w:color="C0C0C0"/>
              <w:right w:val="single" w:sz="4" w:space="0" w:color="000080"/>
            </w:tcBorders>
            <w:shd w:val="clear" w:color="auto" w:fill="auto"/>
            <w:vAlign w:val="center"/>
            <w:hideMark/>
          </w:tcPr>
          <w:p w14:paraId="56188A90" w14:textId="77777777" w:rsidR="00F774AD" w:rsidRPr="00F774AD" w:rsidRDefault="00F774AD" w:rsidP="00F774AD">
            <w:pPr>
              <w:rPr>
                <w:rFonts w:ascii="Arial" w:hAnsi="Arial" w:cs="Arial"/>
                <w:sz w:val="18"/>
                <w:szCs w:val="18"/>
              </w:rPr>
            </w:pPr>
            <w:r w:rsidRPr="00F774AD">
              <w:rPr>
                <w:rFonts w:ascii="Arial" w:hAnsi="Arial" w:cs="Arial"/>
                <w:sz w:val="18"/>
                <w:szCs w:val="18"/>
              </w:rPr>
              <w:t>Ostala nespomenuta potraživanja</w:t>
            </w:r>
          </w:p>
        </w:tc>
        <w:tc>
          <w:tcPr>
            <w:tcW w:w="717" w:type="dxa"/>
            <w:tcBorders>
              <w:top w:val="nil"/>
              <w:left w:val="nil"/>
              <w:bottom w:val="single" w:sz="4" w:space="0" w:color="C0C0C0"/>
              <w:right w:val="single" w:sz="4" w:space="0" w:color="000080"/>
            </w:tcBorders>
            <w:shd w:val="clear" w:color="auto" w:fill="auto"/>
            <w:vAlign w:val="center"/>
            <w:hideMark/>
          </w:tcPr>
          <w:p w14:paraId="0688945A"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12921</w:t>
            </w:r>
          </w:p>
        </w:tc>
        <w:tc>
          <w:tcPr>
            <w:tcW w:w="1481" w:type="dxa"/>
            <w:tcBorders>
              <w:top w:val="nil"/>
              <w:left w:val="nil"/>
              <w:bottom w:val="single" w:sz="4" w:space="0" w:color="C0C0C0"/>
              <w:right w:val="single" w:sz="4" w:space="0" w:color="000080"/>
            </w:tcBorders>
            <w:shd w:val="clear" w:color="auto" w:fill="auto"/>
            <w:noWrap/>
            <w:vAlign w:val="center"/>
            <w:hideMark/>
          </w:tcPr>
          <w:p w14:paraId="40AFF299"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18.624.879,16</w:t>
            </w:r>
          </w:p>
        </w:tc>
        <w:tc>
          <w:tcPr>
            <w:tcW w:w="1462" w:type="dxa"/>
            <w:tcBorders>
              <w:top w:val="nil"/>
              <w:left w:val="nil"/>
              <w:bottom w:val="single" w:sz="4" w:space="0" w:color="C0C0C0"/>
              <w:right w:val="single" w:sz="4" w:space="0" w:color="000080"/>
            </w:tcBorders>
            <w:shd w:val="clear" w:color="auto" w:fill="auto"/>
            <w:noWrap/>
            <w:vAlign w:val="center"/>
            <w:hideMark/>
          </w:tcPr>
          <w:p w14:paraId="38FAB05F"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2.167.047,02</w:t>
            </w:r>
          </w:p>
        </w:tc>
        <w:tc>
          <w:tcPr>
            <w:tcW w:w="967" w:type="dxa"/>
            <w:tcBorders>
              <w:top w:val="nil"/>
              <w:left w:val="nil"/>
              <w:bottom w:val="single" w:sz="4" w:space="0" w:color="C0C0C0"/>
              <w:right w:val="single" w:sz="4" w:space="0" w:color="000000"/>
            </w:tcBorders>
            <w:shd w:val="clear" w:color="auto" w:fill="auto"/>
            <w:noWrap/>
            <w:vAlign w:val="center"/>
            <w:hideMark/>
          </w:tcPr>
          <w:p w14:paraId="044D0FB9"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11,6</w:t>
            </w:r>
          </w:p>
        </w:tc>
      </w:tr>
      <w:tr w:rsidR="00F774AD" w:rsidRPr="00F774AD" w14:paraId="2F6F48BA" w14:textId="77777777" w:rsidTr="00F774AD">
        <w:trPr>
          <w:trHeight w:val="240"/>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79458203" w14:textId="77777777" w:rsidR="00F774AD" w:rsidRPr="00F774AD" w:rsidRDefault="00F774AD" w:rsidP="00F774AD">
            <w:pPr>
              <w:rPr>
                <w:rFonts w:ascii="Arial" w:hAnsi="Arial" w:cs="Arial"/>
                <w:sz w:val="18"/>
                <w:szCs w:val="18"/>
              </w:rPr>
            </w:pPr>
            <w:r w:rsidRPr="00F774AD">
              <w:rPr>
                <w:rFonts w:ascii="Arial" w:hAnsi="Arial" w:cs="Arial"/>
                <w:sz w:val="18"/>
                <w:szCs w:val="18"/>
              </w:rPr>
              <w:t>12951</w:t>
            </w:r>
          </w:p>
        </w:tc>
        <w:tc>
          <w:tcPr>
            <w:tcW w:w="8766" w:type="dxa"/>
            <w:tcBorders>
              <w:top w:val="nil"/>
              <w:left w:val="nil"/>
              <w:bottom w:val="single" w:sz="4" w:space="0" w:color="C0C0C0"/>
              <w:right w:val="single" w:sz="4" w:space="0" w:color="000080"/>
            </w:tcBorders>
            <w:shd w:val="clear" w:color="auto" w:fill="auto"/>
            <w:vAlign w:val="center"/>
            <w:hideMark/>
          </w:tcPr>
          <w:p w14:paraId="7A99B23C" w14:textId="77777777" w:rsidR="00F774AD" w:rsidRPr="00F774AD" w:rsidRDefault="00F774AD" w:rsidP="00F774AD">
            <w:pPr>
              <w:rPr>
                <w:rFonts w:ascii="Arial" w:hAnsi="Arial" w:cs="Arial"/>
                <w:sz w:val="18"/>
                <w:szCs w:val="18"/>
              </w:rPr>
            </w:pPr>
            <w:r w:rsidRPr="00F774AD">
              <w:rPr>
                <w:rFonts w:ascii="Arial" w:hAnsi="Arial" w:cs="Arial"/>
                <w:sz w:val="18"/>
                <w:szCs w:val="18"/>
              </w:rPr>
              <w:t>Potraživanja za EU predujmove dane iz državnog proračuna</w:t>
            </w:r>
          </w:p>
        </w:tc>
        <w:tc>
          <w:tcPr>
            <w:tcW w:w="717" w:type="dxa"/>
            <w:tcBorders>
              <w:top w:val="nil"/>
              <w:left w:val="nil"/>
              <w:bottom w:val="single" w:sz="4" w:space="0" w:color="C0C0C0"/>
              <w:right w:val="single" w:sz="4" w:space="0" w:color="000080"/>
            </w:tcBorders>
            <w:shd w:val="clear" w:color="auto" w:fill="auto"/>
            <w:vAlign w:val="center"/>
            <w:hideMark/>
          </w:tcPr>
          <w:p w14:paraId="75579F74"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12951</w:t>
            </w:r>
          </w:p>
        </w:tc>
        <w:tc>
          <w:tcPr>
            <w:tcW w:w="1481" w:type="dxa"/>
            <w:tcBorders>
              <w:top w:val="nil"/>
              <w:left w:val="nil"/>
              <w:bottom w:val="single" w:sz="4" w:space="0" w:color="C0C0C0"/>
              <w:right w:val="single" w:sz="4" w:space="0" w:color="000080"/>
            </w:tcBorders>
            <w:shd w:val="clear" w:color="auto" w:fill="auto"/>
            <w:noWrap/>
            <w:vAlign w:val="center"/>
            <w:hideMark/>
          </w:tcPr>
          <w:p w14:paraId="3D8D287E"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 </w:t>
            </w:r>
          </w:p>
        </w:tc>
        <w:tc>
          <w:tcPr>
            <w:tcW w:w="1462" w:type="dxa"/>
            <w:tcBorders>
              <w:top w:val="nil"/>
              <w:left w:val="nil"/>
              <w:bottom w:val="single" w:sz="4" w:space="0" w:color="C0C0C0"/>
              <w:right w:val="single" w:sz="4" w:space="0" w:color="000080"/>
            </w:tcBorders>
            <w:shd w:val="clear" w:color="auto" w:fill="auto"/>
            <w:noWrap/>
            <w:vAlign w:val="center"/>
            <w:hideMark/>
          </w:tcPr>
          <w:p w14:paraId="6B572D48"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23.872.237,77</w:t>
            </w:r>
          </w:p>
        </w:tc>
        <w:tc>
          <w:tcPr>
            <w:tcW w:w="967" w:type="dxa"/>
            <w:tcBorders>
              <w:top w:val="nil"/>
              <w:left w:val="nil"/>
              <w:bottom w:val="single" w:sz="4" w:space="0" w:color="C0C0C0"/>
              <w:right w:val="single" w:sz="4" w:space="0" w:color="000000"/>
            </w:tcBorders>
            <w:shd w:val="clear" w:color="auto" w:fill="auto"/>
            <w:noWrap/>
            <w:vAlign w:val="center"/>
            <w:hideMark/>
          </w:tcPr>
          <w:p w14:paraId="0A711640"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w:t>
            </w:r>
          </w:p>
        </w:tc>
      </w:tr>
      <w:tr w:rsidR="00F774AD" w:rsidRPr="00F774AD" w14:paraId="2F0CEE34" w14:textId="77777777" w:rsidTr="00F774AD">
        <w:trPr>
          <w:trHeight w:val="480"/>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104243D7" w14:textId="77777777" w:rsidR="00F774AD" w:rsidRPr="00F774AD" w:rsidRDefault="00F774AD" w:rsidP="00F774AD">
            <w:pPr>
              <w:rPr>
                <w:rFonts w:ascii="Arial" w:hAnsi="Arial" w:cs="Arial"/>
                <w:sz w:val="18"/>
                <w:szCs w:val="18"/>
              </w:rPr>
            </w:pPr>
            <w:r w:rsidRPr="00F774AD">
              <w:rPr>
                <w:rFonts w:ascii="Arial" w:hAnsi="Arial" w:cs="Arial"/>
                <w:sz w:val="18"/>
                <w:szCs w:val="18"/>
              </w:rPr>
              <w:t>16642</w:t>
            </w:r>
          </w:p>
        </w:tc>
        <w:tc>
          <w:tcPr>
            <w:tcW w:w="8766" w:type="dxa"/>
            <w:tcBorders>
              <w:top w:val="nil"/>
              <w:left w:val="nil"/>
              <w:bottom w:val="single" w:sz="4" w:space="0" w:color="C0C0C0"/>
              <w:right w:val="single" w:sz="4" w:space="0" w:color="000080"/>
            </w:tcBorders>
            <w:shd w:val="clear" w:color="auto" w:fill="auto"/>
            <w:vAlign w:val="center"/>
            <w:hideMark/>
          </w:tcPr>
          <w:p w14:paraId="59314389" w14:textId="77777777" w:rsidR="00F774AD" w:rsidRPr="00F774AD" w:rsidRDefault="00F774AD" w:rsidP="00F774AD">
            <w:pPr>
              <w:rPr>
                <w:rFonts w:ascii="Arial" w:hAnsi="Arial" w:cs="Arial"/>
                <w:sz w:val="18"/>
                <w:szCs w:val="18"/>
              </w:rPr>
            </w:pPr>
            <w:r w:rsidRPr="00F774AD">
              <w:rPr>
                <w:rFonts w:ascii="Arial" w:hAnsi="Arial" w:cs="Arial"/>
                <w:sz w:val="18"/>
                <w:szCs w:val="18"/>
              </w:rPr>
              <w:t>Potraživanja za povrat kapitalnih pomoći danih tuzemnim trgovačkim društvima izvan javnog sektora po protestiranim jamstvima</w:t>
            </w:r>
          </w:p>
        </w:tc>
        <w:tc>
          <w:tcPr>
            <w:tcW w:w="717" w:type="dxa"/>
            <w:tcBorders>
              <w:top w:val="nil"/>
              <w:left w:val="nil"/>
              <w:bottom w:val="single" w:sz="4" w:space="0" w:color="C0C0C0"/>
              <w:right w:val="single" w:sz="4" w:space="0" w:color="000080"/>
            </w:tcBorders>
            <w:shd w:val="clear" w:color="auto" w:fill="auto"/>
            <w:vAlign w:val="center"/>
            <w:hideMark/>
          </w:tcPr>
          <w:p w14:paraId="51F8C627"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16642</w:t>
            </w:r>
          </w:p>
        </w:tc>
        <w:tc>
          <w:tcPr>
            <w:tcW w:w="1481" w:type="dxa"/>
            <w:tcBorders>
              <w:top w:val="nil"/>
              <w:left w:val="nil"/>
              <w:bottom w:val="single" w:sz="4" w:space="0" w:color="C0C0C0"/>
              <w:right w:val="single" w:sz="4" w:space="0" w:color="000080"/>
            </w:tcBorders>
            <w:shd w:val="clear" w:color="auto" w:fill="auto"/>
            <w:noWrap/>
            <w:vAlign w:val="center"/>
            <w:hideMark/>
          </w:tcPr>
          <w:p w14:paraId="4FD69AFC"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809.694,00</w:t>
            </w:r>
          </w:p>
        </w:tc>
        <w:tc>
          <w:tcPr>
            <w:tcW w:w="1462" w:type="dxa"/>
            <w:tcBorders>
              <w:top w:val="nil"/>
              <w:left w:val="nil"/>
              <w:bottom w:val="single" w:sz="4" w:space="0" w:color="C0C0C0"/>
              <w:right w:val="single" w:sz="4" w:space="0" w:color="000080"/>
            </w:tcBorders>
            <w:shd w:val="clear" w:color="auto" w:fill="auto"/>
            <w:noWrap/>
            <w:vAlign w:val="center"/>
            <w:hideMark/>
          </w:tcPr>
          <w:p w14:paraId="7704A70F"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1.464.471,26</w:t>
            </w:r>
          </w:p>
        </w:tc>
        <w:tc>
          <w:tcPr>
            <w:tcW w:w="967" w:type="dxa"/>
            <w:tcBorders>
              <w:top w:val="nil"/>
              <w:left w:val="nil"/>
              <w:bottom w:val="single" w:sz="4" w:space="0" w:color="C0C0C0"/>
              <w:right w:val="single" w:sz="4" w:space="0" w:color="000000"/>
            </w:tcBorders>
            <w:shd w:val="clear" w:color="auto" w:fill="auto"/>
            <w:noWrap/>
            <w:vAlign w:val="center"/>
            <w:hideMark/>
          </w:tcPr>
          <w:p w14:paraId="0889F1C6"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180,9</w:t>
            </w:r>
          </w:p>
        </w:tc>
      </w:tr>
      <w:tr w:rsidR="00F774AD" w:rsidRPr="00F774AD" w14:paraId="3C504640" w14:textId="77777777" w:rsidTr="00F774AD">
        <w:trPr>
          <w:trHeight w:val="480"/>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7D80BCFA" w14:textId="77777777" w:rsidR="00F774AD" w:rsidRPr="00F774AD" w:rsidRDefault="00F774AD" w:rsidP="00F774AD">
            <w:pPr>
              <w:rPr>
                <w:rFonts w:ascii="Arial" w:hAnsi="Arial" w:cs="Arial"/>
                <w:sz w:val="18"/>
                <w:szCs w:val="18"/>
              </w:rPr>
            </w:pPr>
            <w:r w:rsidRPr="00F774AD">
              <w:rPr>
                <w:rFonts w:ascii="Arial" w:hAnsi="Arial" w:cs="Arial"/>
                <w:sz w:val="18"/>
                <w:szCs w:val="18"/>
              </w:rPr>
              <w:lastRenderedPageBreak/>
              <w:t>16721</w:t>
            </w:r>
          </w:p>
        </w:tc>
        <w:tc>
          <w:tcPr>
            <w:tcW w:w="8766" w:type="dxa"/>
            <w:tcBorders>
              <w:top w:val="nil"/>
              <w:left w:val="nil"/>
              <w:bottom w:val="single" w:sz="4" w:space="0" w:color="C0C0C0"/>
              <w:right w:val="single" w:sz="4" w:space="0" w:color="000080"/>
            </w:tcBorders>
            <w:shd w:val="clear" w:color="auto" w:fill="auto"/>
            <w:vAlign w:val="center"/>
            <w:hideMark/>
          </w:tcPr>
          <w:p w14:paraId="4EDEBD3C" w14:textId="77777777" w:rsidR="00F774AD" w:rsidRPr="00F774AD" w:rsidRDefault="00F774AD" w:rsidP="00F774AD">
            <w:pPr>
              <w:rPr>
                <w:rFonts w:ascii="Arial" w:hAnsi="Arial" w:cs="Arial"/>
                <w:sz w:val="18"/>
                <w:szCs w:val="18"/>
              </w:rPr>
            </w:pPr>
            <w:r w:rsidRPr="00F774AD">
              <w:rPr>
                <w:rFonts w:ascii="Arial" w:hAnsi="Arial" w:cs="Arial"/>
                <w:sz w:val="18"/>
                <w:szCs w:val="18"/>
              </w:rPr>
              <w:t>Potraživanja proračunskih korisnika za sredstva uplaćena u nadležni proračun</w:t>
            </w:r>
          </w:p>
        </w:tc>
        <w:tc>
          <w:tcPr>
            <w:tcW w:w="717" w:type="dxa"/>
            <w:tcBorders>
              <w:top w:val="nil"/>
              <w:left w:val="nil"/>
              <w:bottom w:val="single" w:sz="4" w:space="0" w:color="C0C0C0"/>
              <w:right w:val="single" w:sz="4" w:space="0" w:color="000080"/>
            </w:tcBorders>
            <w:shd w:val="clear" w:color="auto" w:fill="auto"/>
            <w:vAlign w:val="center"/>
            <w:hideMark/>
          </w:tcPr>
          <w:p w14:paraId="520E80EF"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16721</w:t>
            </w:r>
          </w:p>
        </w:tc>
        <w:tc>
          <w:tcPr>
            <w:tcW w:w="1481" w:type="dxa"/>
            <w:tcBorders>
              <w:top w:val="nil"/>
              <w:left w:val="nil"/>
              <w:bottom w:val="single" w:sz="4" w:space="0" w:color="C0C0C0"/>
              <w:right w:val="single" w:sz="4" w:space="0" w:color="000080"/>
            </w:tcBorders>
            <w:shd w:val="clear" w:color="auto" w:fill="auto"/>
            <w:noWrap/>
            <w:vAlign w:val="center"/>
            <w:hideMark/>
          </w:tcPr>
          <w:p w14:paraId="11753E5F"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18.579.700,55</w:t>
            </w:r>
          </w:p>
        </w:tc>
        <w:tc>
          <w:tcPr>
            <w:tcW w:w="1462" w:type="dxa"/>
            <w:tcBorders>
              <w:top w:val="nil"/>
              <w:left w:val="nil"/>
              <w:bottom w:val="single" w:sz="4" w:space="0" w:color="C0C0C0"/>
              <w:right w:val="single" w:sz="4" w:space="0" w:color="000080"/>
            </w:tcBorders>
            <w:shd w:val="clear" w:color="auto" w:fill="auto"/>
            <w:noWrap/>
            <w:vAlign w:val="center"/>
            <w:hideMark/>
          </w:tcPr>
          <w:p w14:paraId="59E68B6A"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11.920.304,22</w:t>
            </w:r>
          </w:p>
        </w:tc>
        <w:tc>
          <w:tcPr>
            <w:tcW w:w="967" w:type="dxa"/>
            <w:tcBorders>
              <w:top w:val="nil"/>
              <w:left w:val="nil"/>
              <w:bottom w:val="single" w:sz="4" w:space="0" w:color="C0C0C0"/>
              <w:right w:val="single" w:sz="4" w:space="0" w:color="000000"/>
            </w:tcBorders>
            <w:shd w:val="clear" w:color="auto" w:fill="auto"/>
            <w:noWrap/>
            <w:vAlign w:val="center"/>
            <w:hideMark/>
          </w:tcPr>
          <w:p w14:paraId="7C7F5797"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64,2</w:t>
            </w:r>
          </w:p>
        </w:tc>
      </w:tr>
      <w:tr w:rsidR="00F774AD" w:rsidRPr="00F774AD" w14:paraId="66380812"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6EA3CB9B" w14:textId="77777777" w:rsidR="00F774AD" w:rsidRPr="00F774AD" w:rsidRDefault="00F774AD" w:rsidP="00F774AD">
            <w:pPr>
              <w:rPr>
                <w:rFonts w:ascii="Arial" w:hAnsi="Arial" w:cs="Arial"/>
                <w:sz w:val="18"/>
                <w:szCs w:val="18"/>
              </w:rPr>
            </w:pPr>
            <w:r w:rsidRPr="00F774AD">
              <w:rPr>
                <w:rFonts w:ascii="Arial" w:hAnsi="Arial" w:cs="Arial"/>
                <w:sz w:val="18"/>
                <w:szCs w:val="18"/>
              </w:rPr>
              <w:t>dio 23</w:t>
            </w:r>
          </w:p>
        </w:tc>
        <w:tc>
          <w:tcPr>
            <w:tcW w:w="8766" w:type="dxa"/>
            <w:tcBorders>
              <w:top w:val="nil"/>
              <w:left w:val="nil"/>
              <w:bottom w:val="single" w:sz="4" w:space="0" w:color="C0C0C0"/>
              <w:right w:val="single" w:sz="4" w:space="0" w:color="000080"/>
            </w:tcBorders>
            <w:shd w:val="clear" w:color="auto" w:fill="auto"/>
            <w:vAlign w:val="center"/>
            <w:hideMark/>
          </w:tcPr>
          <w:p w14:paraId="1CC6E8A8" w14:textId="688D0183" w:rsidR="00F774AD" w:rsidRPr="00F774AD" w:rsidRDefault="00F774AD" w:rsidP="00F774AD">
            <w:pPr>
              <w:rPr>
                <w:rFonts w:ascii="Arial" w:hAnsi="Arial" w:cs="Arial"/>
                <w:sz w:val="18"/>
                <w:szCs w:val="18"/>
              </w:rPr>
            </w:pPr>
            <w:r w:rsidRPr="00F774AD">
              <w:rPr>
                <w:rFonts w:ascii="Arial" w:hAnsi="Arial" w:cs="Arial"/>
                <w:sz w:val="18"/>
                <w:szCs w:val="18"/>
              </w:rPr>
              <w:t xml:space="preserve">Obveze za rashode poslovanja </w:t>
            </w:r>
            <w:r w:rsidR="00086FB4">
              <w:rPr>
                <w:rFonts w:ascii="Arial" w:hAnsi="Arial" w:cs="Arial"/>
                <w:sz w:val="18"/>
                <w:szCs w:val="18"/>
              </w:rPr>
              <w:t>–</w:t>
            </w:r>
            <w:r w:rsidRPr="00F774AD">
              <w:rPr>
                <w:rFonts w:ascii="Arial" w:hAnsi="Arial" w:cs="Arial"/>
                <w:sz w:val="18"/>
                <w:szCs w:val="18"/>
              </w:rPr>
              <w:t xml:space="preserve"> dospjele</w:t>
            </w:r>
          </w:p>
        </w:tc>
        <w:tc>
          <w:tcPr>
            <w:tcW w:w="717" w:type="dxa"/>
            <w:tcBorders>
              <w:top w:val="nil"/>
              <w:left w:val="nil"/>
              <w:bottom w:val="single" w:sz="4" w:space="0" w:color="C0C0C0"/>
              <w:right w:val="single" w:sz="4" w:space="0" w:color="000080"/>
            </w:tcBorders>
            <w:shd w:val="clear" w:color="auto" w:fill="auto"/>
            <w:vAlign w:val="center"/>
            <w:hideMark/>
          </w:tcPr>
          <w:p w14:paraId="15D82583"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dio 23 D</w:t>
            </w:r>
          </w:p>
        </w:tc>
        <w:tc>
          <w:tcPr>
            <w:tcW w:w="1481" w:type="dxa"/>
            <w:tcBorders>
              <w:top w:val="nil"/>
              <w:left w:val="nil"/>
              <w:bottom w:val="single" w:sz="4" w:space="0" w:color="C0C0C0"/>
              <w:right w:val="single" w:sz="4" w:space="0" w:color="000080"/>
            </w:tcBorders>
            <w:shd w:val="clear" w:color="auto" w:fill="auto"/>
            <w:noWrap/>
            <w:vAlign w:val="center"/>
            <w:hideMark/>
          </w:tcPr>
          <w:p w14:paraId="2023DA13"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271,91</w:t>
            </w:r>
          </w:p>
        </w:tc>
        <w:tc>
          <w:tcPr>
            <w:tcW w:w="1462" w:type="dxa"/>
            <w:tcBorders>
              <w:top w:val="nil"/>
              <w:left w:val="nil"/>
              <w:bottom w:val="single" w:sz="4" w:space="0" w:color="C0C0C0"/>
              <w:right w:val="single" w:sz="4" w:space="0" w:color="000080"/>
            </w:tcBorders>
            <w:shd w:val="clear" w:color="auto" w:fill="auto"/>
            <w:noWrap/>
            <w:vAlign w:val="center"/>
            <w:hideMark/>
          </w:tcPr>
          <w:p w14:paraId="1A71C952"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 </w:t>
            </w:r>
          </w:p>
        </w:tc>
        <w:tc>
          <w:tcPr>
            <w:tcW w:w="967" w:type="dxa"/>
            <w:tcBorders>
              <w:top w:val="nil"/>
              <w:left w:val="nil"/>
              <w:bottom w:val="single" w:sz="4" w:space="0" w:color="C0C0C0"/>
              <w:right w:val="single" w:sz="4" w:space="0" w:color="000000"/>
            </w:tcBorders>
            <w:shd w:val="clear" w:color="auto" w:fill="auto"/>
            <w:noWrap/>
            <w:vAlign w:val="center"/>
            <w:hideMark/>
          </w:tcPr>
          <w:p w14:paraId="1A450E08"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0,0</w:t>
            </w:r>
          </w:p>
        </w:tc>
      </w:tr>
      <w:tr w:rsidR="00F774AD" w:rsidRPr="00F774AD" w14:paraId="23F77F73"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0E9A791A" w14:textId="77777777" w:rsidR="00F774AD" w:rsidRPr="00F774AD" w:rsidRDefault="00F774AD" w:rsidP="00F774AD">
            <w:pPr>
              <w:rPr>
                <w:rFonts w:ascii="Arial" w:hAnsi="Arial" w:cs="Arial"/>
                <w:sz w:val="18"/>
                <w:szCs w:val="18"/>
              </w:rPr>
            </w:pPr>
            <w:r w:rsidRPr="00F774AD">
              <w:rPr>
                <w:rFonts w:ascii="Arial" w:hAnsi="Arial" w:cs="Arial"/>
                <w:sz w:val="18"/>
                <w:szCs w:val="18"/>
              </w:rPr>
              <w:t>dio 23</w:t>
            </w:r>
          </w:p>
        </w:tc>
        <w:tc>
          <w:tcPr>
            <w:tcW w:w="8766" w:type="dxa"/>
            <w:tcBorders>
              <w:top w:val="nil"/>
              <w:left w:val="nil"/>
              <w:bottom w:val="single" w:sz="4" w:space="0" w:color="C0C0C0"/>
              <w:right w:val="single" w:sz="4" w:space="0" w:color="000080"/>
            </w:tcBorders>
            <w:shd w:val="clear" w:color="auto" w:fill="auto"/>
            <w:vAlign w:val="center"/>
            <w:hideMark/>
          </w:tcPr>
          <w:p w14:paraId="572496C3" w14:textId="4468C736" w:rsidR="00F774AD" w:rsidRPr="00F774AD" w:rsidRDefault="00F774AD" w:rsidP="00F774AD">
            <w:pPr>
              <w:rPr>
                <w:rFonts w:ascii="Arial" w:hAnsi="Arial" w:cs="Arial"/>
                <w:sz w:val="18"/>
                <w:szCs w:val="18"/>
              </w:rPr>
            </w:pPr>
            <w:r w:rsidRPr="00F774AD">
              <w:rPr>
                <w:rFonts w:ascii="Arial" w:hAnsi="Arial" w:cs="Arial"/>
                <w:sz w:val="18"/>
                <w:szCs w:val="18"/>
              </w:rPr>
              <w:t xml:space="preserve">Obveze za rashode poslovanja </w:t>
            </w:r>
            <w:r w:rsidR="00086FB4">
              <w:rPr>
                <w:rFonts w:ascii="Arial" w:hAnsi="Arial" w:cs="Arial"/>
                <w:sz w:val="18"/>
                <w:szCs w:val="18"/>
              </w:rPr>
              <w:t>–</w:t>
            </w:r>
            <w:r w:rsidRPr="00F774AD">
              <w:rPr>
                <w:rFonts w:ascii="Arial" w:hAnsi="Arial" w:cs="Arial"/>
                <w:sz w:val="18"/>
                <w:szCs w:val="18"/>
              </w:rPr>
              <w:t xml:space="preserve"> nedospjele</w:t>
            </w:r>
          </w:p>
        </w:tc>
        <w:tc>
          <w:tcPr>
            <w:tcW w:w="717" w:type="dxa"/>
            <w:tcBorders>
              <w:top w:val="nil"/>
              <w:left w:val="nil"/>
              <w:bottom w:val="single" w:sz="4" w:space="0" w:color="C0C0C0"/>
              <w:right w:val="single" w:sz="4" w:space="0" w:color="000080"/>
            </w:tcBorders>
            <w:shd w:val="clear" w:color="auto" w:fill="auto"/>
            <w:vAlign w:val="center"/>
            <w:hideMark/>
          </w:tcPr>
          <w:p w14:paraId="31B89926"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dio 23 N</w:t>
            </w:r>
          </w:p>
        </w:tc>
        <w:tc>
          <w:tcPr>
            <w:tcW w:w="1481" w:type="dxa"/>
            <w:tcBorders>
              <w:top w:val="nil"/>
              <w:left w:val="nil"/>
              <w:bottom w:val="single" w:sz="4" w:space="0" w:color="C0C0C0"/>
              <w:right w:val="single" w:sz="4" w:space="0" w:color="000080"/>
            </w:tcBorders>
            <w:shd w:val="clear" w:color="auto" w:fill="auto"/>
            <w:noWrap/>
            <w:vAlign w:val="center"/>
            <w:hideMark/>
          </w:tcPr>
          <w:p w14:paraId="11D80646"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58.541.439,33</w:t>
            </w:r>
          </w:p>
        </w:tc>
        <w:tc>
          <w:tcPr>
            <w:tcW w:w="1462" w:type="dxa"/>
            <w:tcBorders>
              <w:top w:val="nil"/>
              <w:left w:val="nil"/>
              <w:bottom w:val="single" w:sz="4" w:space="0" w:color="C0C0C0"/>
              <w:right w:val="single" w:sz="4" w:space="0" w:color="000080"/>
            </w:tcBorders>
            <w:shd w:val="clear" w:color="auto" w:fill="auto"/>
            <w:noWrap/>
            <w:vAlign w:val="center"/>
            <w:hideMark/>
          </w:tcPr>
          <w:p w14:paraId="27755923"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24.460.624,23</w:t>
            </w:r>
          </w:p>
        </w:tc>
        <w:tc>
          <w:tcPr>
            <w:tcW w:w="967" w:type="dxa"/>
            <w:tcBorders>
              <w:top w:val="nil"/>
              <w:left w:val="nil"/>
              <w:bottom w:val="single" w:sz="4" w:space="0" w:color="C0C0C0"/>
              <w:right w:val="single" w:sz="4" w:space="0" w:color="000000"/>
            </w:tcBorders>
            <w:shd w:val="clear" w:color="auto" w:fill="auto"/>
            <w:noWrap/>
            <w:vAlign w:val="center"/>
            <w:hideMark/>
          </w:tcPr>
          <w:p w14:paraId="5BE965E9"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41,8</w:t>
            </w:r>
          </w:p>
        </w:tc>
      </w:tr>
      <w:tr w:rsidR="00F774AD" w:rsidRPr="00F774AD" w14:paraId="7ED9BBFE"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5C2BAA85" w14:textId="77777777" w:rsidR="00F774AD" w:rsidRPr="00F774AD" w:rsidRDefault="00F774AD" w:rsidP="00F774AD">
            <w:pPr>
              <w:rPr>
                <w:rFonts w:ascii="Arial" w:hAnsi="Arial" w:cs="Arial"/>
                <w:sz w:val="18"/>
                <w:szCs w:val="18"/>
              </w:rPr>
            </w:pPr>
            <w:r w:rsidRPr="00F774AD">
              <w:rPr>
                <w:rFonts w:ascii="Arial" w:hAnsi="Arial" w:cs="Arial"/>
                <w:sz w:val="18"/>
                <w:szCs w:val="18"/>
              </w:rPr>
              <w:t>dio 24</w:t>
            </w:r>
          </w:p>
        </w:tc>
        <w:tc>
          <w:tcPr>
            <w:tcW w:w="8766" w:type="dxa"/>
            <w:tcBorders>
              <w:top w:val="nil"/>
              <w:left w:val="nil"/>
              <w:bottom w:val="single" w:sz="4" w:space="0" w:color="C0C0C0"/>
              <w:right w:val="single" w:sz="4" w:space="0" w:color="000080"/>
            </w:tcBorders>
            <w:shd w:val="clear" w:color="auto" w:fill="auto"/>
            <w:vAlign w:val="center"/>
            <w:hideMark/>
          </w:tcPr>
          <w:p w14:paraId="12398D75" w14:textId="77777777" w:rsidR="00F774AD" w:rsidRPr="00F774AD" w:rsidRDefault="00F774AD" w:rsidP="00F774AD">
            <w:pPr>
              <w:rPr>
                <w:rFonts w:ascii="Arial" w:hAnsi="Arial" w:cs="Arial"/>
                <w:sz w:val="18"/>
                <w:szCs w:val="18"/>
              </w:rPr>
            </w:pPr>
            <w:r w:rsidRPr="00F774AD">
              <w:rPr>
                <w:rFonts w:ascii="Arial" w:hAnsi="Arial" w:cs="Arial"/>
                <w:sz w:val="18"/>
                <w:szCs w:val="18"/>
              </w:rPr>
              <w:t>Obveze za nabavu nefinancijske imovine - nedospjele</w:t>
            </w:r>
          </w:p>
        </w:tc>
        <w:tc>
          <w:tcPr>
            <w:tcW w:w="717" w:type="dxa"/>
            <w:tcBorders>
              <w:top w:val="nil"/>
              <w:left w:val="nil"/>
              <w:bottom w:val="single" w:sz="4" w:space="0" w:color="C0C0C0"/>
              <w:right w:val="single" w:sz="4" w:space="0" w:color="000080"/>
            </w:tcBorders>
            <w:shd w:val="clear" w:color="auto" w:fill="auto"/>
            <w:vAlign w:val="center"/>
            <w:hideMark/>
          </w:tcPr>
          <w:p w14:paraId="44F46C83"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dio 24 N</w:t>
            </w:r>
          </w:p>
        </w:tc>
        <w:tc>
          <w:tcPr>
            <w:tcW w:w="1481" w:type="dxa"/>
            <w:tcBorders>
              <w:top w:val="nil"/>
              <w:left w:val="nil"/>
              <w:bottom w:val="single" w:sz="4" w:space="0" w:color="C0C0C0"/>
              <w:right w:val="single" w:sz="4" w:space="0" w:color="000080"/>
            </w:tcBorders>
            <w:shd w:val="clear" w:color="auto" w:fill="auto"/>
            <w:noWrap/>
            <w:vAlign w:val="center"/>
            <w:hideMark/>
          </w:tcPr>
          <w:p w14:paraId="6FF3C177"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12.165,00</w:t>
            </w:r>
          </w:p>
        </w:tc>
        <w:tc>
          <w:tcPr>
            <w:tcW w:w="1462" w:type="dxa"/>
            <w:tcBorders>
              <w:top w:val="nil"/>
              <w:left w:val="nil"/>
              <w:bottom w:val="single" w:sz="4" w:space="0" w:color="C0C0C0"/>
              <w:right w:val="single" w:sz="4" w:space="0" w:color="000080"/>
            </w:tcBorders>
            <w:shd w:val="clear" w:color="auto" w:fill="auto"/>
            <w:noWrap/>
            <w:vAlign w:val="center"/>
            <w:hideMark/>
          </w:tcPr>
          <w:p w14:paraId="7551F74D"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3.873.323,19</w:t>
            </w:r>
          </w:p>
        </w:tc>
        <w:tc>
          <w:tcPr>
            <w:tcW w:w="967" w:type="dxa"/>
            <w:tcBorders>
              <w:top w:val="nil"/>
              <w:left w:val="nil"/>
              <w:bottom w:val="single" w:sz="4" w:space="0" w:color="C0C0C0"/>
              <w:right w:val="single" w:sz="4" w:space="0" w:color="000000"/>
            </w:tcBorders>
            <w:shd w:val="clear" w:color="auto" w:fill="auto"/>
            <w:noWrap/>
            <w:vAlign w:val="center"/>
            <w:hideMark/>
          </w:tcPr>
          <w:p w14:paraId="64893597"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&gt;&gt;100</w:t>
            </w:r>
          </w:p>
        </w:tc>
      </w:tr>
      <w:tr w:rsidR="00F774AD" w:rsidRPr="00F774AD" w14:paraId="5B5B7BF4"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60B3A9E2" w14:textId="77777777" w:rsidR="00F774AD" w:rsidRPr="00F774AD" w:rsidRDefault="00F774AD" w:rsidP="00F774AD">
            <w:pPr>
              <w:rPr>
                <w:rFonts w:ascii="Arial" w:hAnsi="Arial" w:cs="Arial"/>
                <w:sz w:val="18"/>
                <w:szCs w:val="18"/>
              </w:rPr>
            </w:pPr>
            <w:r w:rsidRPr="00F774AD">
              <w:rPr>
                <w:rFonts w:ascii="Arial" w:hAnsi="Arial" w:cs="Arial"/>
                <w:sz w:val="18"/>
                <w:szCs w:val="18"/>
              </w:rPr>
              <w:t>27111</w:t>
            </w:r>
          </w:p>
        </w:tc>
        <w:tc>
          <w:tcPr>
            <w:tcW w:w="8766" w:type="dxa"/>
            <w:tcBorders>
              <w:top w:val="nil"/>
              <w:left w:val="nil"/>
              <w:bottom w:val="single" w:sz="4" w:space="0" w:color="C0C0C0"/>
              <w:right w:val="single" w:sz="4" w:space="0" w:color="000080"/>
            </w:tcBorders>
            <w:shd w:val="clear" w:color="auto" w:fill="auto"/>
            <w:vAlign w:val="center"/>
            <w:hideMark/>
          </w:tcPr>
          <w:p w14:paraId="67891C90" w14:textId="77777777" w:rsidR="00F774AD" w:rsidRPr="00F774AD" w:rsidRDefault="00F774AD" w:rsidP="00F774AD">
            <w:pPr>
              <w:rPr>
                <w:rFonts w:ascii="Arial" w:hAnsi="Arial" w:cs="Arial"/>
                <w:sz w:val="18"/>
                <w:szCs w:val="18"/>
              </w:rPr>
            </w:pPr>
            <w:r w:rsidRPr="00F774AD">
              <w:rPr>
                <w:rFonts w:ascii="Arial" w:hAnsi="Arial" w:cs="Arial"/>
                <w:sz w:val="18"/>
                <w:szCs w:val="18"/>
              </w:rPr>
              <w:t>Obveze za predujmove</w:t>
            </w:r>
          </w:p>
        </w:tc>
        <w:tc>
          <w:tcPr>
            <w:tcW w:w="717" w:type="dxa"/>
            <w:tcBorders>
              <w:top w:val="nil"/>
              <w:left w:val="nil"/>
              <w:bottom w:val="single" w:sz="4" w:space="0" w:color="C0C0C0"/>
              <w:right w:val="single" w:sz="4" w:space="0" w:color="000080"/>
            </w:tcBorders>
            <w:shd w:val="clear" w:color="auto" w:fill="auto"/>
            <w:vAlign w:val="center"/>
            <w:hideMark/>
          </w:tcPr>
          <w:p w14:paraId="1219BBDF"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27111</w:t>
            </w:r>
          </w:p>
        </w:tc>
        <w:tc>
          <w:tcPr>
            <w:tcW w:w="1481" w:type="dxa"/>
            <w:tcBorders>
              <w:top w:val="nil"/>
              <w:left w:val="nil"/>
              <w:bottom w:val="single" w:sz="4" w:space="0" w:color="C0C0C0"/>
              <w:right w:val="single" w:sz="4" w:space="0" w:color="000080"/>
            </w:tcBorders>
            <w:shd w:val="clear" w:color="auto" w:fill="auto"/>
            <w:noWrap/>
            <w:vAlign w:val="center"/>
            <w:hideMark/>
          </w:tcPr>
          <w:p w14:paraId="004921A6"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 </w:t>
            </w:r>
          </w:p>
        </w:tc>
        <w:tc>
          <w:tcPr>
            <w:tcW w:w="1462" w:type="dxa"/>
            <w:tcBorders>
              <w:top w:val="nil"/>
              <w:left w:val="nil"/>
              <w:bottom w:val="single" w:sz="4" w:space="0" w:color="C0C0C0"/>
              <w:right w:val="single" w:sz="4" w:space="0" w:color="000080"/>
            </w:tcBorders>
            <w:shd w:val="clear" w:color="auto" w:fill="auto"/>
            <w:noWrap/>
            <w:vAlign w:val="center"/>
            <w:hideMark/>
          </w:tcPr>
          <w:p w14:paraId="109C834C"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6.533,33</w:t>
            </w:r>
          </w:p>
        </w:tc>
        <w:tc>
          <w:tcPr>
            <w:tcW w:w="967" w:type="dxa"/>
            <w:tcBorders>
              <w:top w:val="nil"/>
              <w:left w:val="nil"/>
              <w:bottom w:val="single" w:sz="4" w:space="0" w:color="C0C0C0"/>
              <w:right w:val="single" w:sz="4" w:space="0" w:color="000000"/>
            </w:tcBorders>
            <w:shd w:val="clear" w:color="auto" w:fill="auto"/>
            <w:noWrap/>
            <w:vAlign w:val="center"/>
            <w:hideMark/>
          </w:tcPr>
          <w:p w14:paraId="5F65B19B"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w:t>
            </w:r>
          </w:p>
        </w:tc>
      </w:tr>
      <w:tr w:rsidR="00F774AD" w:rsidRPr="00F774AD" w14:paraId="1CD3D85F"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21DF9B22" w14:textId="77777777" w:rsidR="00F774AD" w:rsidRPr="00F774AD" w:rsidRDefault="00F774AD" w:rsidP="00F774AD">
            <w:pPr>
              <w:rPr>
                <w:rFonts w:ascii="Arial" w:hAnsi="Arial" w:cs="Arial"/>
                <w:sz w:val="18"/>
                <w:szCs w:val="18"/>
              </w:rPr>
            </w:pPr>
            <w:r w:rsidRPr="00F774AD">
              <w:rPr>
                <w:rFonts w:ascii="Arial" w:hAnsi="Arial" w:cs="Arial"/>
                <w:sz w:val="18"/>
                <w:szCs w:val="18"/>
              </w:rPr>
              <w:t>27212</w:t>
            </w:r>
          </w:p>
        </w:tc>
        <w:tc>
          <w:tcPr>
            <w:tcW w:w="8766" w:type="dxa"/>
            <w:tcBorders>
              <w:top w:val="nil"/>
              <w:left w:val="nil"/>
              <w:bottom w:val="single" w:sz="4" w:space="0" w:color="C0C0C0"/>
              <w:right w:val="single" w:sz="4" w:space="0" w:color="000080"/>
            </w:tcBorders>
            <w:shd w:val="clear" w:color="auto" w:fill="auto"/>
            <w:vAlign w:val="center"/>
            <w:hideMark/>
          </w:tcPr>
          <w:p w14:paraId="1A4F3B80" w14:textId="77777777" w:rsidR="00F774AD" w:rsidRPr="00F774AD" w:rsidRDefault="00F774AD" w:rsidP="00F774AD">
            <w:pPr>
              <w:rPr>
                <w:rFonts w:ascii="Arial" w:hAnsi="Arial" w:cs="Arial"/>
                <w:sz w:val="18"/>
                <w:szCs w:val="18"/>
              </w:rPr>
            </w:pPr>
            <w:r w:rsidRPr="00F774AD">
              <w:rPr>
                <w:rFonts w:ascii="Arial" w:hAnsi="Arial" w:cs="Arial"/>
                <w:sz w:val="18"/>
                <w:szCs w:val="18"/>
              </w:rPr>
              <w:t xml:space="preserve">Obveze za </w:t>
            </w:r>
            <w:proofErr w:type="spellStart"/>
            <w:r w:rsidRPr="00F774AD">
              <w:rPr>
                <w:rFonts w:ascii="Arial" w:hAnsi="Arial" w:cs="Arial"/>
                <w:sz w:val="18"/>
                <w:szCs w:val="18"/>
              </w:rPr>
              <w:t>jamčevne</w:t>
            </w:r>
            <w:proofErr w:type="spellEnd"/>
            <w:r w:rsidRPr="00F774AD">
              <w:rPr>
                <w:rFonts w:ascii="Arial" w:hAnsi="Arial" w:cs="Arial"/>
                <w:sz w:val="18"/>
                <w:szCs w:val="18"/>
              </w:rPr>
              <w:t xml:space="preserve"> </w:t>
            </w:r>
            <w:proofErr w:type="spellStart"/>
            <w:r w:rsidRPr="00F774AD">
              <w:rPr>
                <w:rFonts w:ascii="Arial" w:hAnsi="Arial" w:cs="Arial"/>
                <w:sz w:val="18"/>
                <w:szCs w:val="18"/>
              </w:rPr>
              <w:t>pologe</w:t>
            </w:r>
            <w:proofErr w:type="spellEnd"/>
          </w:p>
        </w:tc>
        <w:tc>
          <w:tcPr>
            <w:tcW w:w="717" w:type="dxa"/>
            <w:tcBorders>
              <w:top w:val="nil"/>
              <w:left w:val="nil"/>
              <w:bottom w:val="single" w:sz="4" w:space="0" w:color="C0C0C0"/>
              <w:right w:val="single" w:sz="4" w:space="0" w:color="000080"/>
            </w:tcBorders>
            <w:shd w:val="clear" w:color="auto" w:fill="auto"/>
            <w:vAlign w:val="center"/>
            <w:hideMark/>
          </w:tcPr>
          <w:p w14:paraId="6CAA504D"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27212</w:t>
            </w:r>
          </w:p>
        </w:tc>
        <w:tc>
          <w:tcPr>
            <w:tcW w:w="1481" w:type="dxa"/>
            <w:tcBorders>
              <w:top w:val="nil"/>
              <w:left w:val="nil"/>
              <w:bottom w:val="single" w:sz="4" w:space="0" w:color="C0C0C0"/>
              <w:right w:val="single" w:sz="4" w:space="0" w:color="000080"/>
            </w:tcBorders>
            <w:shd w:val="clear" w:color="auto" w:fill="auto"/>
            <w:noWrap/>
            <w:vAlign w:val="center"/>
            <w:hideMark/>
          </w:tcPr>
          <w:p w14:paraId="5CD779A8"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 </w:t>
            </w:r>
          </w:p>
        </w:tc>
        <w:tc>
          <w:tcPr>
            <w:tcW w:w="1462" w:type="dxa"/>
            <w:tcBorders>
              <w:top w:val="nil"/>
              <w:left w:val="nil"/>
              <w:bottom w:val="single" w:sz="4" w:space="0" w:color="C0C0C0"/>
              <w:right w:val="single" w:sz="4" w:space="0" w:color="000080"/>
            </w:tcBorders>
            <w:shd w:val="clear" w:color="auto" w:fill="auto"/>
            <w:noWrap/>
            <w:vAlign w:val="center"/>
            <w:hideMark/>
          </w:tcPr>
          <w:p w14:paraId="5162FA39"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339.624,21</w:t>
            </w:r>
          </w:p>
        </w:tc>
        <w:tc>
          <w:tcPr>
            <w:tcW w:w="967" w:type="dxa"/>
            <w:tcBorders>
              <w:top w:val="nil"/>
              <w:left w:val="nil"/>
              <w:bottom w:val="single" w:sz="4" w:space="0" w:color="C0C0C0"/>
              <w:right w:val="single" w:sz="4" w:space="0" w:color="000000"/>
            </w:tcBorders>
            <w:shd w:val="clear" w:color="auto" w:fill="auto"/>
            <w:noWrap/>
            <w:vAlign w:val="center"/>
            <w:hideMark/>
          </w:tcPr>
          <w:p w14:paraId="5D262E87"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w:t>
            </w:r>
          </w:p>
        </w:tc>
      </w:tr>
      <w:tr w:rsidR="00F774AD" w:rsidRPr="00F774AD" w14:paraId="540B500C"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6C738BC2" w14:textId="77777777" w:rsidR="00F774AD" w:rsidRPr="00F774AD" w:rsidRDefault="00F774AD" w:rsidP="00F774AD">
            <w:pPr>
              <w:rPr>
                <w:rFonts w:ascii="Arial" w:hAnsi="Arial" w:cs="Arial"/>
                <w:sz w:val="18"/>
                <w:szCs w:val="18"/>
              </w:rPr>
            </w:pPr>
            <w:r w:rsidRPr="00F774AD">
              <w:rPr>
                <w:rFonts w:ascii="Arial" w:hAnsi="Arial" w:cs="Arial"/>
                <w:sz w:val="18"/>
                <w:szCs w:val="18"/>
              </w:rPr>
              <w:t>27511</w:t>
            </w:r>
          </w:p>
        </w:tc>
        <w:tc>
          <w:tcPr>
            <w:tcW w:w="8766" w:type="dxa"/>
            <w:tcBorders>
              <w:top w:val="nil"/>
              <w:left w:val="nil"/>
              <w:bottom w:val="single" w:sz="4" w:space="0" w:color="C0C0C0"/>
              <w:right w:val="single" w:sz="4" w:space="0" w:color="000080"/>
            </w:tcBorders>
            <w:shd w:val="clear" w:color="auto" w:fill="auto"/>
            <w:vAlign w:val="center"/>
            <w:hideMark/>
          </w:tcPr>
          <w:p w14:paraId="27C58398" w14:textId="77777777" w:rsidR="00F774AD" w:rsidRPr="00F774AD" w:rsidRDefault="00F774AD" w:rsidP="00F774AD">
            <w:pPr>
              <w:rPr>
                <w:rFonts w:ascii="Arial" w:hAnsi="Arial" w:cs="Arial"/>
                <w:sz w:val="18"/>
                <w:szCs w:val="18"/>
              </w:rPr>
            </w:pPr>
            <w:r w:rsidRPr="00F774AD">
              <w:rPr>
                <w:rFonts w:ascii="Arial" w:hAnsi="Arial" w:cs="Arial"/>
                <w:sz w:val="18"/>
                <w:szCs w:val="18"/>
              </w:rPr>
              <w:t>Obveze za EU predujmove dane od institucija i tijela EU</w:t>
            </w:r>
          </w:p>
        </w:tc>
        <w:tc>
          <w:tcPr>
            <w:tcW w:w="717" w:type="dxa"/>
            <w:tcBorders>
              <w:top w:val="nil"/>
              <w:left w:val="nil"/>
              <w:bottom w:val="single" w:sz="4" w:space="0" w:color="C0C0C0"/>
              <w:right w:val="single" w:sz="4" w:space="0" w:color="000080"/>
            </w:tcBorders>
            <w:shd w:val="clear" w:color="auto" w:fill="auto"/>
            <w:vAlign w:val="center"/>
            <w:hideMark/>
          </w:tcPr>
          <w:p w14:paraId="5F562A45"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27511</w:t>
            </w:r>
          </w:p>
        </w:tc>
        <w:tc>
          <w:tcPr>
            <w:tcW w:w="1481" w:type="dxa"/>
            <w:tcBorders>
              <w:top w:val="nil"/>
              <w:left w:val="nil"/>
              <w:bottom w:val="single" w:sz="4" w:space="0" w:color="C0C0C0"/>
              <w:right w:val="single" w:sz="4" w:space="0" w:color="000080"/>
            </w:tcBorders>
            <w:shd w:val="clear" w:color="auto" w:fill="auto"/>
            <w:noWrap/>
            <w:vAlign w:val="center"/>
            <w:hideMark/>
          </w:tcPr>
          <w:p w14:paraId="07A080EC"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 </w:t>
            </w:r>
          </w:p>
        </w:tc>
        <w:tc>
          <w:tcPr>
            <w:tcW w:w="1462" w:type="dxa"/>
            <w:tcBorders>
              <w:top w:val="nil"/>
              <w:left w:val="nil"/>
              <w:bottom w:val="single" w:sz="4" w:space="0" w:color="C0C0C0"/>
              <w:right w:val="single" w:sz="4" w:space="0" w:color="000080"/>
            </w:tcBorders>
            <w:shd w:val="clear" w:color="auto" w:fill="auto"/>
            <w:noWrap/>
            <w:vAlign w:val="center"/>
            <w:hideMark/>
          </w:tcPr>
          <w:p w14:paraId="337E87C5"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4.320.857,90</w:t>
            </w:r>
          </w:p>
        </w:tc>
        <w:tc>
          <w:tcPr>
            <w:tcW w:w="967" w:type="dxa"/>
            <w:tcBorders>
              <w:top w:val="nil"/>
              <w:left w:val="nil"/>
              <w:bottom w:val="single" w:sz="4" w:space="0" w:color="C0C0C0"/>
              <w:right w:val="single" w:sz="4" w:space="0" w:color="000000"/>
            </w:tcBorders>
            <w:shd w:val="clear" w:color="auto" w:fill="auto"/>
            <w:noWrap/>
            <w:vAlign w:val="center"/>
            <w:hideMark/>
          </w:tcPr>
          <w:p w14:paraId="182B6696"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w:t>
            </w:r>
          </w:p>
        </w:tc>
      </w:tr>
      <w:tr w:rsidR="00F774AD" w:rsidRPr="00F774AD" w14:paraId="76279A7E"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6BE25EDB" w14:textId="77777777" w:rsidR="00F774AD" w:rsidRPr="00F774AD" w:rsidRDefault="00F774AD" w:rsidP="00F774AD">
            <w:pPr>
              <w:rPr>
                <w:rFonts w:ascii="Arial" w:hAnsi="Arial" w:cs="Arial"/>
                <w:sz w:val="18"/>
                <w:szCs w:val="18"/>
              </w:rPr>
            </w:pPr>
            <w:r w:rsidRPr="00F774AD">
              <w:rPr>
                <w:rFonts w:ascii="Arial" w:hAnsi="Arial" w:cs="Arial"/>
                <w:sz w:val="18"/>
                <w:szCs w:val="18"/>
              </w:rPr>
              <w:t>27611</w:t>
            </w:r>
          </w:p>
        </w:tc>
        <w:tc>
          <w:tcPr>
            <w:tcW w:w="8766" w:type="dxa"/>
            <w:tcBorders>
              <w:top w:val="nil"/>
              <w:left w:val="nil"/>
              <w:bottom w:val="single" w:sz="4" w:space="0" w:color="C0C0C0"/>
              <w:right w:val="single" w:sz="4" w:space="0" w:color="000080"/>
            </w:tcBorders>
            <w:shd w:val="clear" w:color="auto" w:fill="auto"/>
            <w:vAlign w:val="center"/>
            <w:hideMark/>
          </w:tcPr>
          <w:p w14:paraId="665DEC12" w14:textId="77777777" w:rsidR="00F774AD" w:rsidRPr="00F774AD" w:rsidRDefault="00F774AD" w:rsidP="00F774AD">
            <w:pPr>
              <w:rPr>
                <w:rFonts w:ascii="Arial" w:hAnsi="Arial" w:cs="Arial"/>
                <w:sz w:val="18"/>
                <w:szCs w:val="18"/>
              </w:rPr>
            </w:pPr>
            <w:r w:rsidRPr="00F774AD">
              <w:rPr>
                <w:rFonts w:ascii="Arial" w:hAnsi="Arial" w:cs="Arial"/>
                <w:sz w:val="18"/>
                <w:szCs w:val="18"/>
              </w:rPr>
              <w:t>Obveze proračunskih korisnika za povrat u proračun</w:t>
            </w:r>
          </w:p>
        </w:tc>
        <w:tc>
          <w:tcPr>
            <w:tcW w:w="717" w:type="dxa"/>
            <w:tcBorders>
              <w:top w:val="nil"/>
              <w:left w:val="nil"/>
              <w:bottom w:val="single" w:sz="4" w:space="0" w:color="C0C0C0"/>
              <w:right w:val="single" w:sz="4" w:space="0" w:color="000080"/>
            </w:tcBorders>
            <w:shd w:val="clear" w:color="auto" w:fill="auto"/>
            <w:vAlign w:val="center"/>
            <w:hideMark/>
          </w:tcPr>
          <w:p w14:paraId="3C3659C3"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27611</w:t>
            </w:r>
          </w:p>
        </w:tc>
        <w:tc>
          <w:tcPr>
            <w:tcW w:w="1481" w:type="dxa"/>
            <w:tcBorders>
              <w:top w:val="nil"/>
              <w:left w:val="nil"/>
              <w:bottom w:val="single" w:sz="4" w:space="0" w:color="C0C0C0"/>
              <w:right w:val="single" w:sz="4" w:space="0" w:color="000080"/>
            </w:tcBorders>
            <w:shd w:val="clear" w:color="auto" w:fill="auto"/>
            <w:noWrap/>
            <w:vAlign w:val="center"/>
            <w:hideMark/>
          </w:tcPr>
          <w:p w14:paraId="0C1E64E9"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 </w:t>
            </w:r>
          </w:p>
        </w:tc>
        <w:tc>
          <w:tcPr>
            <w:tcW w:w="1462" w:type="dxa"/>
            <w:tcBorders>
              <w:top w:val="nil"/>
              <w:left w:val="nil"/>
              <w:bottom w:val="single" w:sz="4" w:space="0" w:color="C0C0C0"/>
              <w:right w:val="single" w:sz="4" w:space="0" w:color="000080"/>
            </w:tcBorders>
            <w:shd w:val="clear" w:color="auto" w:fill="auto"/>
            <w:noWrap/>
            <w:vAlign w:val="center"/>
            <w:hideMark/>
          </w:tcPr>
          <w:p w14:paraId="0511F4AC"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97.083.089,77</w:t>
            </w:r>
          </w:p>
        </w:tc>
        <w:tc>
          <w:tcPr>
            <w:tcW w:w="967" w:type="dxa"/>
            <w:tcBorders>
              <w:top w:val="nil"/>
              <w:left w:val="nil"/>
              <w:bottom w:val="single" w:sz="4" w:space="0" w:color="C0C0C0"/>
              <w:right w:val="single" w:sz="4" w:space="0" w:color="000000"/>
            </w:tcBorders>
            <w:shd w:val="clear" w:color="auto" w:fill="auto"/>
            <w:noWrap/>
            <w:vAlign w:val="center"/>
            <w:hideMark/>
          </w:tcPr>
          <w:p w14:paraId="1CE41C8A"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w:t>
            </w:r>
          </w:p>
        </w:tc>
      </w:tr>
      <w:tr w:rsidR="00F774AD" w:rsidRPr="00F774AD" w14:paraId="0936A3CB"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685ED519" w14:textId="77777777" w:rsidR="00F774AD" w:rsidRPr="00F774AD" w:rsidRDefault="00F774AD" w:rsidP="00F774AD">
            <w:pPr>
              <w:rPr>
                <w:rFonts w:ascii="Arial" w:hAnsi="Arial" w:cs="Arial"/>
                <w:sz w:val="18"/>
                <w:szCs w:val="18"/>
              </w:rPr>
            </w:pPr>
            <w:r w:rsidRPr="00F774AD">
              <w:rPr>
                <w:rFonts w:ascii="Arial" w:hAnsi="Arial" w:cs="Arial"/>
                <w:sz w:val="18"/>
                <w:szCs w:val="18"/>
              </w:rPr>
              <w:t>27612</w:t>
            </w:r>
          </w:p>
        </w:tc>
        <w:tc>
          <w:tcPr>
            <w:tcW w:w="8766" w:type="dxa"/>
            <w:tcBorders>
              <w:top w:val="nil"/>
              <w:left w:val="nil"/>
              <w:bottom w:val="single" w:sz="4" w:space="0" w:color="C0C0C0"/>
              <w:right w:val="single" w:sz="4" w:space="0" w:color="000080"/>
            </w:tcBorders>
            <w:shd w:val="clear" w:color="auto" w:fill="auto"/>
            <w:vAlign w:val="center"/>
            <w:hideMark/>
          </w:tcPr>
          <w:p w14:paraId="19220DB4" w14:textId="77777777" w:rsidR="00F774AD" w:rsidRPr="00F774AD" w:rsidRDefault="00F774AD" w:rsidP="00F774AD">
            <w:pPr>
              <w:rPr>
                <w:rFonts w:ascii="Arial" w:hAnsi="Arial" w:cs="Arial"/>
                <w:sz w:val="18"/>
                <w:szCs w:val="18"/>
              </w:rPr>
            </w:pPr>
            <w:r w:rsidRPr="00F774AD">
              <w:rPr>
                <w:rFonts w:ascii="Arial" w:hAnsi="Arial" w:cs="Arial"/>
                <w:sz w:val="18"/>
                <w:szCs w:val="18"/>
              </w:rPr>
              <w:t>Obveze proračunskih korisnika za povrat u proračun - bolovanje HZZO</w:t>
            </w:r>
          </w:p>
        </w:tc>
        <w:tc>
          <w:tcPr>
            <w:tcW w:w="717" w:type="dxa"/>
            <w:tcBorders>
              <w:top w:val="nil"/>
              <w:left w:val="nil"/>
              <w:bottom w:val="single" w:sz="4" w:space="0" w:color="C0C0C0"/>
              <w:right w:val="single" w:sz="4" w:space="0" w:color="000080"/>
            </w:tcBorders>
            <w:shd w:val="clear" w:color="auto" w:fill="auto"/>
            <w:vAlign w:val="center"/>
            <w:hideMark/>
          </w:tcPr>
          <w:p w14:paraId="4A748244"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27612</w:t>
            </w:r>
          </w:p>
        </w:tc>
        <w:tc>
          <w:tcPr>
            <w:tcW w:w="1481" w:type="dxa"/>
            <w:tcBorders>
              <w:top w:val="nil"/>
              <w:left w:val="nil"/>
              <w:bottom w:val="single" w:sz="4" w:space="0" w:color="C0C0C0"/>
              <w:right w:val="single" w:sz="4" w:space="0" w:color="000080"/>
            </w:tcBorders>
            <w:shd w:val="clear" w:color="auto" w:fill="auto"/>
            <w:noWrap/>
            <w:vAlign w:val="center"/>
            <w:hideMark/>
          </w:tcPr>
          <w:p w14:paraId="72B6364E"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 </w:t>
            </w:r>
          </w:p>
        </w:tc>
        <w:tc>
          <w:tcPr>
            <w:tcW w:w="1462" w:type="dxa"/>
            <w:tcBorders>
              <w:top w:val="nil"/>
              <w:left w:val="nil"/>
              <w:bottom w:val="single" w:sz="4" w:space="0" w:color="C0C0C0"/>
              <w:right w:val="single" w:sz="4" w:space="0" w:color="000080"/>
            </w:tcBorders>
            <w:shd w:val="clear" w:color="auto" w:fill="auto"/>
            <w:noWrap/>
            <w:vAlign w:val="center"/>
            <w:hideMark/>
          </w:tcPr>
          <w:p w14:paraId="534E32BD"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15.757,29</w:t>
            </w:r>
          </w:p>
        </w:tc>
        <w:tc>
          <w:tcPr>
            <w:tcW w:w="967" w:type="dxa"/>
            <w:tcBorders>
              <w:top w:val="nil"/>
              <w:left w:val="nil"/>
              <w:bottom w:val="single" w:sz="4" w:space="0" w:color="C0C0C0"/>
              <w:right w:val="single" w:sz="4" w:space="0" w:color="000000"/>
            </w:tcBorders>
            <w:shd w:val="clear" w:color="auto" w:fill="auto"/>
            <w:noWrap/>
            <w:vAlign w:val="center"/>
            <w:hideMark/>
          </w:tcPr>
          <w:p w14:paraId="79FD65C8"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w:t>
            </w:r>
          </w:p>
        </w:tc>
      </w:tr>
      <w:tr w:rsidR="00F774AD" w:rsidRPr="00F774AD" w14:paraId="2912BBE8"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6AF99BBF" w14:textId="77777777" w:rsidR="00F774AD" w:rsidRPr="00F774AD" w:rsidRDefault="00F774AD" w:rsidP="00F774AD">
            <w:pPr>
              <w:rPr>
                <w:rFonts w:ascii="Arial" w:hAnsi="Arial" w:cs="Arial"/>
                <w:sz w:val="18"/>
                <w:szCs w:val="18"/>
              </w:rPr>
            </w:pPr>
            <w:r w:rsidRPr="00F774AD">
              <w:rPr>
                <w:rFonts w:ascii="Arial" w:hAnsi="Arial" w:cs="Arial"/>
                <w:sz w:val="18"/>
                <w:szCs w:val="18"/>
              </w:rPr>
              <w:t>92215</w:t>
            </w:r>
          </w:p>
        </w:tc>
        <w:tc>
          <w:tcPr>
            <w:tcW w:w="8766" w:type="dxa"/>
            <w:tcBorders>
              <w:top w:val="nil"/>
              <w:left w:val="nil"/>
              <w:bottom w:val="single" w:sz="4" w:space="0" w:color="C0C0C0"/>
              <w:right w:val="single" w:sz="4" w:space="0" w:color="000080"/>
            </w:tcBorders>
            <w:shd w:val="clear" w:color="auto" w:fill="auto"/>
            <w:vAlign w:val="center"/>
            <w:hideMark/>
          </w:tcPr>
          <w:p w14:paraId="04D8D1F8" w14:textId="77777777" w:rsidR="00F774AD" w:rsidRPr="00F774AD" w:rsidRDefault="00F774AD" w:rsidP="00F774AD">
            <w:pPr>
              <w:rPr>
                <w:rFonts w:ascii="Arial" w:hAnsi="Arial" w:cs="Arial"/>
                <w:sz w:val="18"/>
                <w:szCs w:val="18"/>
              </w:rPr>
            </w:pPr>
            <w:r w:rsidRPr="00F774AD">
              <w:rPr>
                <w:rFonts w:ascii="Arial" w:hAnsi="Arial" w:cs="Arial"/>
                <w:sz w:val="18"/>
                <w:szCs w:val="18"/>
              </w:rPr>
              <w:t>Višak prihoda od nefinancijske imovine - ispravci iz prethodnih razdoblja</w:t>
            </w:r>
          </w:p>
        </w:tc>
        <w:tc>
          <w:tcPr>
            <w:tcW w:w="717" w:type="dxa"/>
            <w:tcBorders>
              <w:top w:val="nil"/>
              <w:left w:val="nil"/>
              <w:bottom w:val="single" w:sz="4" w:space="0" w:color="C0C0C0"/>
              <w:right w:val="single" w:sz="4" w:space="0" w:color="000080"/>
            </w:tcBorders>
            <w:shd w:val="clear" w:color="auto" w:fill="auto"/>
            <w:vAlign w:val="center"/>
            <w:hideMark/>
          </w:tcPr>
          <w:p w14:paraId="0CFBDA02"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92215</w:t>
            </w:r>
          </w:p>
        </w:tc>
        <w:tc>
          <w:tcPr>
            <w:tcW w:w="1481" w:type="dxa"/>
            <w:tcBorders>
              <w:top w:val="nil"/>
              <w:left w:val="nil"/>
              <w:bottom w:val="single" w:sz="4" w:space="0" w:color="C0C0C0"/>
              <w:right w:val="single" w:sz="4" w:space="0" w:color="000080"/>
            </w:tcBorders>
            <w:shd w:val="clear" w:color="auto" w:fill="auto"/>
            <w:noWrap/>
            <w:vAlign w:val="center"/>
            <w:hideMark/>
          </w:tcPr>
          <w:p w14:paraId="34E73A12"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25AB98FC"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1.233.321,38</w:t>
            </w:r>
          </w:p>
        </w:tc>
        <w:tc>
          <w:tcPr>
            <w:tcW w:w="967" w:type="dxa"/>
            <w:tcBorders>
              <w:top w:val="nil"/>
              <w:left w:val="nil"/>
              <w:bottom w:val="single" w:sz="4" w:space="0" w:color="C0C0C0"/>
              <w:right w:val="single" w:sz="4" w:space="0" w:color="000000"/>
            </w:tcBorders>
            <w:shd w:val="clear" w:color="auto" w:fill="auto"/>
            <w:noWrap/>
            <w:vAlign w:val="center"/>
            <w:hideMark/>
          </w:tcPr>
          <w:p w14:paraId="4318CA39"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w:t>
            </w:r>
          </w:p>
        </w:tc>
      </w:tr>
      <w:tr w:rsidR="00F774AD" w:rsidRPr="00F774AD" w14:paraId="467E0DF0"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11844B2F" w14:textId="77777777" w:rsidR="00F774AD" w:rsidRPr="00F774AD" w:rsidRDefault="00F774AD" w:rsidP="00F774AD">
            <w:pPr>
              <w:rPr>
                <w:rFonts w:ascii="Arial" w:hAnsi="Arial" w:cs="Arial"/>
                <w:sz w:val="18"/>
                <w:szCs w:val="18"/>
              </w:rPr>
            </w:pPr>
            <w:r w:rsidRPr="00F774AD">
              <w:rPr>
                <w:rFonts w:ascii="Arial" w:hAnsi="Arial" w:cs="Arial"/>
                <w:sz w:val="18"/>
                <w:szCs w:val="18"/>
              </w:rPr>
              <w:t>92224</w:t>
            </w:r>
          </w:p>
        </w:tc>
        <w:tc>
          <w:tcPr>
            <w:tcW w:w="8766" w:type="dxa"/>
            <w:tcBorders>
              <w:top w:val="nil"/>
              <w:left w:val="nil"/>
              <w:bottom w:val="single" w:sz="4" w:space="0" w:color="C0C0C0"/>
              <w:right w:val="single" w:sz="4" w:space="0" w:color="000080"/>
            </w:tcBorders>
            <w:shd w:val="clear" w:color="auto" w:fill="auto"/>
            <w:vAlign w:val="center"/>
            <w:hideMark/>
          </w:tcPr>
          <w:p w14:paraId="1B44FB88" w14:textId="77777777" w:rsidR="00F774AD" w:rsidRPr="00F774AD" w:rsidRDefault="00F774AD" w:rsidP="00F774AD">
            <w:pPr>
              <w:rPr>
                <w:rFonts w:ascii="Arial" w:hAnsi="Arial" w:cs="Arial"/>
                <w:sz w:val="18"/>
                <w:szCs w:val="18"/>
              </w:rPr>
            </w:pPr>
            <w:r w:rsidRPr="00F774AD">
              <w:rPr>
                <w:rFonts w:ascii="Arial" w:hAnsi="Arial" w:cs="Arial"/>
                <w:sz w:val="18"/>
                <w:szCs w:val="18"/>
              </w:rPr>
              <w:t>Manjak prihoda poslovanja - ispravci iz prethodnih razdoblja</w:t>
            </w:r>
          </w:p>
        </w:tc>
        <w:tc>
          <w:tcPr>
            <w:tcW w:w="717" w:type="dxa"/>
            <w:tcBorders>
              <w:top w:val="nil"/>
              <w:left w:val="nil"/>
              <w:bottom w:val="single" w:sz="4" w:space="0" w:color="C0C0C0"/>
              <w:right w:val="single" w:sz="4" w:space="0" w:color="000080"/>
            </w:tcBorders>
            <w:shd w:val="clear" w:color="auto" w:fill="auto"/>
            <w:vAlign w:val="center"/>
            <w:hideMark/>
          </w:tcPr>
          <w:p w14:paraId="40723F63"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92224</w:t>
            </w:r>
          </w:p>
        </w:tc>
        <w:tc>
          <w:tcPr>
            <w:tcW w:w="1481" w:type="dxa"/>
            <w:tcBorders>
              <w:top w:val="nil"/>
              <w:left w:val="nil"/>
              <w:bottom w:val="single" w:sz="4" w:space="0" w:color="C0C0C0"/>
              <w:right w:val="single" w:sz="4" w:space="0" w:color="000080"/>
            </w:tcBorders>
            <w:shd w:val="clear" w:color="auto" w:fill="auto"/>
            <w:noWrap/>
            <w:vAlign w:val="center"/>
            <w:hideMark/>
          </w:tcPr>
          <w:p w14:paraId="79F68E88"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0,00</w:t>
            </w:r>
          </w:p>
        </w:tc>
        <w:tc>
          <w:tcPr>
            <w:tcW w:w="1462" w:type="dxa"/>
            <w:tcBorders>
              <w:top w:val="nil"/>
              <w:left w:val="nil"/>
              <w:bottom w:val="single" w:sz="4" w:space="0" w:color="C0C0C0"/>
              <w:right w:val="single" w:sz="4" w:space="0" w:color="000080"/>
            </w:tcBorders>
            <w:shd w:val="clear" w:color="auto" w:fill="auto"/>
            <w:noWrap/>
            <w:vAlign w:val="center"/>
            <w:hideMark/>
          </w:tcPr>
          <w:p w14:paraId="02C6E1E2"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7.365,74</w:t>
            </w:r>
          </w:p>
        </w:tc>
        <w:tc>
          <w:tcPr>
            <w:tcW w:w="967" w:type="dxa"/>
            <w:tcBorders>
              <w:top w:val="nil"/>
              <w:left w:val="nil"/>
              <w:bottom w:val="single" w:sz="4" w:space="0" w:color="C0C0C0"/>
              <w:right w:val="single" w:sz="4" w:space="0" w:color="000000"/>
            </w:tcBorders>
            <w:shd w:val="clear" w:color="auto" w:fill="auto"/>
            <w:noWrap/>
            <w:vAlign w:val="center"/>
            <w:hideMark/>
          </w:tcPr>
          <w:p w14:paraId="22D452ED"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w:t>
            </w:r>
          </w:p>
        </w:tc>
      </w:tr>
      <w:tr w:rsidR="00F774AD" w:rsidRPr="00F774AD" w14:paraId="119FB4F6"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55C970EC" w14:textId="77777777" w:rsidR="00F774AD" w:rsidRPr="00F774AD" w:rsidRDefault="00F774AD" w:rsidP="00F774AD">
            <w:pPr>
              <w:rPr>
                <w:rFonts w:ascii="Arial" w:hAnsi="Arial" w:cs="Arial"/>
                <w:sz w:val="18"/>
                <w:szCs w:val="18"/>
              </w:rPr>
            </w:pPr>
            <w:r w:rsidRPr="00F774AD">
              <w:rPr>
                <w:rFonts w:ascii="Arial" w:hAnsi="Arial" w:cs="Arial"/>
                <w:sz w:val="18"/>
                <w:szCs w:val="18"/>
              </w:rPr>
              <w:t>99611</w:t>
            </w:r>
          </w:p>
        </w:tc>
        <w:tc>
          <w:tcPr>
            <w:tcW w:w="8766" w:type="dxa"/>
            <w:tcBorders>
              <w:top w:val="nil"/>
              <w:left w:val="nil"/>
              <w:bottom w:val="single" w:sz="4" w:space="0" w:color="C0C0C0"/>
              <w:right w:val="single" w:sz="4" w:space="0" w:color="000080"/>
            </w:tcBorders>
            <w:shd w:val="clear" w:color="auto" w:fill="auto"/>
            <w:vAlign w:val="center"/>
            <w:hideMark/>
          </w:tcPr>
          <w:p w14:paraId="2BFDE3AE" w14:textId="77777777" w:rsidR="00F774AD" w:rsidRPr="00F774AD" w:rsidRDefault="00F774AD" w:rsidP="00F774AD">
            <w:pPr>
              <w:rPr>
                <w:rFonts w:ascii="Arial" w:hAnsi="Arial" w:cs="Arial"/>
                <w:sz w:val="18"/>
                <w:szCs w:val="18"/>
              </w:rPr>
            </w:pPr>
            <w:r w:rsidRPr="00F774AD">
              <w:rPr>
                <w:rFonts w:ascii="Arial" w:hAnsi="Arial" w:cs="Arial"/>
                <w:sz w:val="18"/>
                <w:szCs w:val="18"/>
              </w:rPr>
              <w:t>Tuđa imovina dobivena na korištenje</w:t>
            </w:r>
          </w:p>
        </w:tc>
        <w:tc>
          <w:tcPr>
            <w:tcW w:w="717" w:type="dxa"/>
            <w:tcBorders>
              <w:top w:val="nil"/>
              <w:left w:val="nil"/>
              <w:bottom w:val="single" w:sz="4" w:space="0" w:color="C0C0C0"/>
              <w:right w:val="single" w:sz="4" w:space="0" w:color="000080"/>
            </w:tcBorders>
            <w:shd w:val="clear" w:color="auto" w:fill="auto"/>
            <w:vAlign w:val="center"/>
            <w:hideMark/>
          </w:tcPr>
          <w:p w14:paraId="46144ACD"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99611</w:t>
            </w:r>
          </w:p>
        </w:tc>
        <w:tc>
          <w:tcPr>
            <w:tcW w:w="1481" w:type="dxa"/>
            <w:tcBorders>
              <w:top w:val="nil"/>
              <w:left w:val="nil"/>
              <w:bottom w:val="single" w:sz="4" w:space="0" w:color="C0C0C0"/>
              <w:right w:val="single" w:sz="4" w:space="0" w:color="000080"/>
            </w:tcBorders>
            <w:shd w:val="clear" w:color="auto" w:fill="auto"/>
            <w:noWrap/>
            <w:vAlign w:val="center"/>
            <w:hideMark/>
          </w:tcPr>
          <w:p w14:paraId="138663FB"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10.439.602,74</w:t>
            </w:r>
          </w:p>
        </w:tc>
        <w:tc>
          <w:tcPr>
            <w:tcW w:w="1462" w:type="dxa"/>
            <w:tcBorders>
              <w:top w:val="nil"/>
              <w:left w:val="nil"/>
              <w:bottom w:val="single" w:sz="4" w:space="0" w:color="C0C0C0"/>
              <w:right w:val="single" w:sz="4" w:space="0" w:color="000080"/>
            </w:tcBorders>
            <w:shd w:val="clear" w:color="auto" w:fill="auto"/>
            <w:noWrap/>
            <w:vAlign w:val="center"/>
            <w:hideMark/>
          </w:tcPr>
          <w:p w14:paraId="25B64EEE"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7.217.296,31</w:t>
            </w:r>
          </w:p>
        </w:tc>
        <w:tc>
          <w:tcPr>
            <w:tcW w:w="967" w:type="dxa"/>
            <w:tcBorders>
              <w:top w:val="nil"/>
              <w:left w:val="nil"/>
              <w:bottom w:val="single" w:sz="4" w:space="0" w:color="C0C0C0"/>
              <w:right w:val="single" w:sz="4" w:space="0" w:color="000000"/>
            </w:tcBorders>
            <w:shd w:val="clear" w:color="auto" w:fill="auto"/>
            <w:noWrap/>
            <w:vAlign w:val="center"/>
            <w:hideMark/>
          </w:tcPr>
          <w:p w14:paraId="5DFEC385"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69,1</w:t>
            </w:r>
          </w:p>
        </w:tc>
      </w:tr>
      <w:tr w:rsidR="00F774AD" w:rsidRPr="00F774AD" w14:paraId="5CFA042E" w14:textId="77777777" w:rsidTr="00F774AD">
        <w:trPr>
          <w:trHeight w:val="240"/>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36EE0D92" w14:textId="77777777" w:rsidR="00F774AD" w:rsidRPr="00F774AD" w:rsidRDefault="00F774AD" w:rsidP="00F774AD">
            <w:pPr>
              <w:rPr>
                <w:rFonts w:ascii="Arial" w:hAnsi="Arial" w:cs="Arial"/>
                <w:sz w:val="18"/>
                <w:szCs w:val="18"/>
              </w:rPr>
            </w:pPr>
            <w:r w:rsidRPr="00F774AD">
              <w:rPr>
                <w:rFonts w:ascii="Arial" w:hAnsi="Arial" w:cs="Arial"/>
                <w:sz w:val="18"/>
                <w:szCs w:val="18"/>
              </w:rPr>
              <w:t>99612</w:t>
            </w:r>
          </w:p>
        </w:tc>
        <w:tc>
          <w:tcPr>
            <w:tcW w:w="8766" w:type="dxa"/>
            <w:tcBorders>
              <w:top w:val="nil"/>
              <w:left w:val="nil"/>
              <w:bottom w:val="single" w:sz="4" w:space="0" w:color="C0C0C0"/>
              <w:right w:val="single" w:sz="4" w:space="0" w:color="000080"/>
            </w:tcBorders>
            <w:shd w:val="clear" w:color="auto" w:fill="auto"/>
            <w:vAlign w:val="center"/>
            <w:hideMark/>
          </w:tcPr>
          <w:p w14:paraId="658B6976" w14:textId="77777777" w:rsidR="00F774AD" w:rsidRPr="00F774AD" w:rsidRDefault="00F774AD" w:rsidP="00F774AD">
            <w:pPr>
              <w:rPr>
                <w:rFonts w:ascii="Arial" w:hAnsi="Arial" w:cs="Arial"/>
                <w:sz w:val="18"/>
                <w:szCs w:val="18"/>
              </w:rPr>
            </w:pPr>
            <w:r w:rsidRPr="00F774AD">
              <w:rPr>
                <w:rFonts w:ascii="Arial" w:hAnsi="Arial" w:cs="Arial"/>
                <w:sz w:val="18"/>
                <w:szCs w:val="18"/>
              </w:rPr>
              <w:t>Dugotrajna nefinancijska imovina nabavljena iz operativnog najma</w:t>
            </w:r>
          </w:p>
        </w:tc>
        <w:tc>
          <w:tcPr>
            <w:tcW w:w="717" w:type="dxa"/>
            <w:tcBorders>
              <w:top w:val="nil"/>
              <w:left w:val="nil"/>
              <w:bottom w:val="single" w:sz="4" w:space="0" w:color="C0C0C0"/>
              <w:right w:val="single" w:sz="4" w:space="0" w:color="000080"/>
            </w:tcBorders>
            <w:shd w:val="clear" w:color="auto" w:fill="auto"/>
            <w:vAlign w:val="center"/>
            <w:hideMark/>
          </w:tcPr>
          <w:p w14:paraId="3059C263"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99612</w:t>
            </w:r>
          </w:p>
        </w:tc>
        <w:tc>
          <w:tcPr>
            <w:tcW w:w="1481" w:type="dxa"/>
            <w:tcBorders>
              <w:top w:val="nil"/>
              <w:left w:val="nil"/>
              <w:bottom w:val="single" w:sz="4" w:space="0" w:color="C0C0C0"/>
              <w:right w:val="single" w:sz="4" w:space="0" w:color="000080"/>
            </w:tcBorders>
            <w:shd w:val="clear" w:color="auto" w:fill="auto"/>
            <w:noWrap/>
            <w:vAlign w:val="center"/>
            <w:hideMark/>
          </w:tcPr>
          <w:p w14:paraId="7E8326BA"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 </w:t>
            </w:r>
          </w:p>
        </w:tc>
        <w:tc>
          <w:tcPr>
            <w:tcW w:w="1462" w:type="dxa"/>
            <w:tcBorders>
              <w:top w:val="nil"/>
              <w:left w:val="nil"/>
              <w:bottom w:val="single" w:sz="4" w:space="0" w:color="C0C0C0"/>
              <w:right w:val="single" w:sz="4" w:space="0" w:color="000080"/>
            </w:tcBorders>
            <w:shd w:val="clear" w:color="auto" w:fill="auto"/>
            <w:noWrap/>
            <w:vAlign w:val="center"/>
            <w:hideMark/>
          </w:tcPr>
          <w:p w14:paraId="0871BAD0"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165.987,36</w:t>
            </w:r>
          </w:p>
        </w:tc>
        <w:tc>
          <w:tcPr>
            <w:tcW w:w="967" w:type="dxa"/>
            <w:tcBorders>
              <w:top w:val="nil"/>
              <w:left w:val="nil"/>
              <w:bottom w:val="single" w:sz="4" w:space="0" w:color="C0C0C0"/>
              <w:right w:val="single" w:sz="4" w:space="0" w:color="000000"/>
            </w:tcBorders>
            <w:shd w:val="clear" w:color="auto" w:fill="auto"/>
            <w:noWrap/>
            <w:vAlign w:val="center"/>
            <w:hideMark/>
          </w:tcPr>
          <w:p w14:paraId="0E18802D"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w:t>
            </w:r>
          </w:p>
        </w:tc>
      </w:tr>
      <w:tr w:rsidR="00F774AD" w:rsidRPr="00F774AD" w14:paraId="371F9DD1" w14:textId="77777777" w:rsidTr="00F774AD">
        <w:trPr>
          <w:trHeight w:val="255"/>
        </w:trPr>
        <w:tc>
          <w:tcPr>
            <w:tcW w:w="971" w:type="dxa"/>
            <w:tcBorders>
              <w:top w:val="nil"/>
              <w:left w:val="single" w:sz="4" w:space="0" w:color="000000"/>
              <w:bottom w:val="single" w:sz="4" w:space="0" w:color="C0C0C0"/>
              <w:right w:val="single" w:sz="4" w:space="0" w:color="000080"/>
            </w:tcBorders>
            <w:shd w:val="clear" w:color="auto" w:fill="auto"/>
            <w:vAlign w:val="center"/>
            <w:hideMark/>
          </w:tcPr>
          <w:p w14:paraId="7E7F3DA3" w14:textId="77777777" w:rsidR="00F774AD" w:rsidRPr="00F774AD" w:rsidRDefault="00F774AD" w:rsidP="00F774AD">
            <w:pPr>
              <w:rPr>
                <w:rFonts w:ascii="Arial" w:hAnsi="Arial" w:cs="Arial"/>
                <w:sz w:val="18"/>
                <w:szCs w:val="18"/>
              </w:rPr>
            </w:pPr>
            <w:r w:rsidRPr="00F774AD">
              <w:rPr>
                <w:rFonts w:ascii="Arial" w:hAnsi="Arial" w:cs="Arial"/>
                <w:sz w:val="18"/>
                <w:szCs w:val="18"/>
              </w:rPr>
              <w:t>99621</w:t>
            </w:r>
          </w:p>
        </w:tc>
        <w:tc>
          <w:tcPr>
            <w:tcW w:w="8766" w:type="dxa"/>
            <w:tcBorders>
              <w:top w:val="nil"/>
              <w:left w:val="nil"/>
              <w:bottom w:val="single" w:sz="4" w:space="0" w:color="C0C0C0"/>
              <w:right w:val="single" w:sz="4" w:space="0" w:color="000080"/>
            </w:tcBorders>
            <w:shd w:val="clear" w:color="auto" w:fill="auto"/>
            <w:vAlign w:val="center"/>
            <w:hideMark/>
          </w:tcPr>
          <w:p w14:paraId="726C89C0" w14:textId="77777777" w:rsidR="00F774AD" w:rsidRPr="00F774AD" w:rsidRDefault="00F774AD" w:rsidP="00F774AD">
            <w:pPr>
              <w:rPr>
                <w:rFonts w:ascii="Arial" w:hAnsi="Arial" w:cs="Arial"/>
                <w:sz w:val="18"/>
                <w:szCs w:val="18"/>
              </w:rPr>
            </w:pPr>
            <w:r w:rsidRPr="00F774AD">
              <w:rPr>
                <w:rFonts w:ascii="Arial" w:hAnsi="Arial" w:cs="Arial"/>
                <w:sz w:val="18"/>
                <w:szCs w:val="18"/>
              </w:rPr>
              <w:t>Potencijalne obveze po danim jamstvima</w:t>
            </w:r>
          </w:p>
        </w:tc>
        <w:tc>
          <w:tcPr>
            <w:tcW w:w="717" w:type="dxa"/>
            <w:tcBorders>
              <w:top w:val="nil"/>
              <w:left w:val="nil"/>
              <w:bottom w:val="single" w:sz="4" w:space="0" w:color="C0C0C0"/>
              <w:right w:val="single" w:sz="4" w:space="0" w:color="000080"/>
            </w:tcBorders>
            <w:shd w:val="clear" w:color="auto" w:fill="auto"/>
            <w:vAlign w:val="center"/>
            <w:hideMark/>
          </w:tcPr>
          <w:p w14:paraId="48ED8E8C"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99621</w:t>
            </w:r>
          </w:p>
        </w:tc>
        <w:tc>
          <w:tcPr>
            <w:tcW w:w="1481" w:type="dxa"/>
            <w:tcBorders>
              <w:top w:val="nil"/>
              <w:left w:val="nil"/>
              <w:bottom w:val="single" w:sz="4" w:space="0" w:color="C0C0C0"/>
              <w:right w:val="single" w:sz="4" w:space="0" w:color="000080"/>
            </w:tcBorders>
            <w:shd w:val="clear" w:color="auto" w:fill="auto"/>
            <w:noWrap/>
            <w:vAlign w:val="center"/>
            <w:hideMark/>
          </w:tcPr>
          <w:p w14:paraId="5C827E2E"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37.943.759,36</w:t>
            </w:r>
          </w:p>
        </w:tc>
        <w:tc>
          <w:tcPr>
            <w:tcW w:w="1462" w:type="dxa"/>
            <w:tcBorders>
              <w:top w:val="nil"/>
              <w:left w:val="nil"/>
              <w:bottom w:val="single" w:sz="4" w:space="0" w:color="C0C0C0"/>
              <w:right w:val="single" w:sz="4" w:space="0" w:color="000080"/>
            </w:tcBorders>
            <w:shd w:val="clear" w:color="auto" w:fill="auto"/>
            <w:noWrap/>
            <w:vAlign w:val="center"/>
            <w:hideMark/>
          </w:tcPr>
          <w:p w14:paraId="152F8514"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29.328.448,26</w:t>
            </w:r>
          </w:p>
        </w:tc>
        <w:tc>
          <w:tcPr>
            <w:tcW w:w="967" w:type="dxa"/>
            <w:tcBorders>
              <w:top w:val="nil"/>
              <w:left w:val="nil"/>
              <w:bottom w:val="single" w:sz="4" w:space="0" w:color="C0C0C0"/>
              <w:right w:val="single" w:sz="4" w:space="0" w:color="000000"/>
            </w:tcBorders>
            <w:shd w:val="clear" w:color="auto" w:fill="auto"/>
            <w:noWrap/>
            <w:vAlign w:val="center"/>
            <w:hideMark/>
          </w:tcPr>
          <w:p w14:paraId="5B1105FD"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77,3</w:t>
            </w:r>
          </w:p>
        </w:tc>
      </w:tr>
      <w:tr w:rsidR="00F774AD" w:rsidRPr="00F774AD" w14:paraId="27627F92" w14:textId="77777777" w:rsidTr="00F774AD">
        <w:trPr>
          <w:trHeight w:val="255"/>
        </w:trPr>
        <w:tc>
          <w:tcPr>
            <w:tcW w:w="971" w:type="dxa"/>
            <w:tcBorders>
              <w:top w:val="nil"/>
              <w:left w:val="single" w:sz="4" w:space="0" w:color="000000"/>
              <w:bottom w:val="nil"/>
              <w:right w:val="single" w:sz="4" w:space="0" w:color="000080"/>
            </w:tcBorders>
            <w:shd w:val="clear" w:color="auto" w:fill="auto"/>
            <w:vAlign w:val="center"/>
            <w:hideMark/>
          </w:tcPr>
          <w:p w14:paraId="2758589B" w14:textId="77777777" w:rsidR="00F774AD" w:rsidRPr="00F774AD" w:rsidRDefault="00F774AD" w:rsidP="00F774AD">
            <w:pPr>
              <w:rPr>
                <w:rFonts w:ascii="Arial" w:hAnsi="Arial" w:cs="Arial"/>
                <w:sz w:val="18"/>
                <w:szCs w:val="18"/>
              </w:rPr>
            </w:pPr>
            <w:r w:rsidRPr="00F774AD">
              <w:rPr>
                <w:rFonts w:ascii="Arial" w:hAnsi="Arial" w:cs="Arial"/>
                <w:sz w:val="18"/>
                <w:szCs w:val="18"/>
              </w:rPr>
              <w:t>99641</w:t>
            </w:r>
          </w:p>
        </w:tc>
        <w:tc>
          <w:tcPr>
            <w:tcW w:w="8766" w:type="dxa"/>
            <w:tcBorders>
              <w:top w:val="nil"/>
              <w:left w:val="nil"/>
              <w:bottom w:val="nil"/>
              <w:right w:val="single" w:sz="4" w:space="0" w:color="000080"/>
            </w:tcBorders>
            <w:shd w:val="clear" w:color="auto" w:fill="auto"/>
            <w:vAlign w:val="center"/>
            <w:hideMark/>
          </w:tcPr>
          <w:p w14:paraId="034BEC28" w14:textId="77777777" w:rsidR="00F774AD" w:rsidRPr="00F774AD" w:rsidRDefault="00F774AD" w:rsidP="00F774AD">
            <w:pPr>
              <w:rPr>
                <w:rFonts w:ascii="Arial" w:hAnsi="Arial" w:cs="Arial"/>
                <w:sz w:val="18"/>
                <w:szCs w:val="18"/>
              </w:rPr>
            </w:pPr>
            <w:r w:rsidRPr="00F774AD">
              <w:rPr>
                <w:rFonts w:ascii="Arial" w:hAnsi="Arial" w:cs="Arial"/>
                <w:sz w:val="18"/>
                <w:szCs w:val="18"/>
              </w:rPr>
              <w:t>Instrumenti osiguranja plaćanja</w:t>
            </w:r>
          </w:p>
        </w:tc>
        <w:tc>
          <w:tcPr>
            <w:tcW w:w="717" w:type="dxa"/>
            <w:tcBorders>
              <w:top w:val="nil"/>
              <w:left w:val="nil"/>
              <w:bottom w:val="nil"/>
              <w:right w:val="single" w:sz="4" w:space="0" w:color="000080"/>
            </w:tcBorders>
            <w:shd w:val="clear" w:color="auto" w:fill="auto"/>
            <w:vAlign w:val="center"/>
            <w:hideMark/>
          </w:tcPr>
          <w:p w14:paraId="12AF76B4"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99641</w:t>
            </w:r>
          </w:p>
        </w:tc>
        <w:tc>
          <w:tcPr>
            <w:tcW w:w="1481" w:type="dxa"/>
            <w:tcBorders>
              <w:top w:val="nil"/>
              <w:left w:val="nil"/>
              <w:bottom w:val="nil"/>
              <w:right w:val="single" w:sz="4" w:space="0" w:color="000080"/>
            </w:tcBorders>
            <w:shd w:val="clear" w:color="auto" w:fill="auto"/>
            <w:noWrap/>
            <w:vAlign w:val="center"/>
            <w:hideMark/>
          </w:tcPr>
          <w:p w14:paraId="70698565"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255.911.456,94</w:t>
            </w:r>
          </w:p>
        </w:tc>
        <w:tc>
          <w:tcPr>
            <w:tcW w:w="1462" w:type="dxa"/>
            <w:tcBorders>
              <w:top w:val="nil"/>
              <w:left w:val="nil"/>
              <w:bottom w:val="nil"/>
              <w:right w:val="single" w:sz="4" w:space="0" w:color="000080"/>
            </w:tcBorders>
            <w:shd w:val="clear" w:color="auto" w:fill="auto"/>
            <w:noWrap/>
            <w:vAlign w:val="center"/>
            <w:hideMark/>
          </w:tcPr>
          <w:p w14:paraId="1B2F78C4"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239.789.529,47</w:t>
            </w:r>
          </w:p>
        </w:tc>
        <w:tc>
          <w:tcPr>
            <w:tcW w:w="967" w:type="dxa"/>
            <w:tcBorders>
              <w:top w:val="nil"/>
              <w:left w:val="nil"/>
              <w:bottom w:val="nil"/>
              <w:right w:val="single" w:sz="4" w:space="0" w:color="000000"/>
            </w:tcBorders>
            <w:shd w:val="clear" w:color="auto" w:fill="auto"/>
            <w:noWrap/>
            <w:vAlign w:val="center"/>
            <w:hideMark/>
          </w:tcPr>
          <w:p w14:paraId="0738C176"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93,7</w:t>
            </w:r>
          </w:p>
        </w:tc>
      </w:tr>
      <w:tr w:rsidR="00F774AD" w:rsidRPr="00F774AD" w14:paraId="22CC1E99" w14:textId="77777777" w:rsidTr="00F774AD">
        <w:trPr>
          <w:trHeight w:val="255"/>
        </w:trPr>
        <w:tc>
          <w:tcPr>
            <w:tcW w:w="971" w:type="dxa"/>
            <w:tcBorders>
              <w:top w:val="single" w:sz="4" w:space="0" w:color="C0C0C0"/>
              <w:left w:val="single" w:sz="4" w:space="0" w:color="000000"/>
              <w:bottom w:val="nil"/>
              <w:right w:val="single" w:sz="4" w:space="0" w:color="000080"/>
            </w:tcBorders>
            <w:shd w:val="clear" w:color="auto" w:fill="auto"/>
            <w:vAlign w:val="center"/>
            <w:hideMark/>
          </w:tcPr>
          <w:p w14:paraId="08C4C442" w14:textId="77777777" w:rsidR="00F774AD" w:rsidRPr="00F774AD" w:rsidRDefault="00F774AD" w:rsidP="00F774AD">
            <w:pPr>
              <w:rPr>
                <w:rFonts w:ascii="Arial" w:hAnsi="Arial" w:cs="Arial"/>
                <w:sz w:val="18"/>
                <w:szCs w:val="18"/>
              </w:rPr>
            </w:pPr>
            <w:r w:rsidRPr="00F774AD">
              <w:rPr>
                <w:rFonts w:ascii="Arial" w:hAnsi="Arial" w:cs="Arial"/>
                <w:sz w:val="18"/>
                <w:szCs w:val="18"/>
              </w:rPr>
              <w:t>99651</w:t>
            </w:r>
          </w:p>
        </w:tc>
        <w:tc>
          <w:tcPr>
            <w:tcW w:w="8766" w:type="dxa"/>
            <w:tcBorders>
              <w:top w:val="single" w:sz="4" w:space="0" w:color="C0C0C0"/>
              <w:left w:val="nil"/>
              <w:bottom w:val="nil"/>
              <w:right w:val="single" w:sz="4" w:space="0" w:color="000080"/>
            </w:tcBorders>
            <w:shd w:val="clear" w:color="auto" w:fill="auto"/>
            <w:vAlign w:val="center"/>
            <w:hideMark/>
          </w:tcPr>
          <w:p w14:paraId="7FA9BEA3" w14:textId="77777777" w:rsidR="00F774AD" w:rsidRPr="00F774AD" w:rsidRDefault="00F774AD" w:rsidP="00F774AD">
            <w:pPr>
              <w:rPr>
                <w:rFonts w:ascii="Arial" w:hAnsi="Arial" w:cs="Arial"/>
                <w:sz w:val="18"/>
                <w:szCs w:val="18"/>
              </w:rPr>
            </w:pPr>
            <w:r w:rsidRPr="00F774AD">
              <w:rPr>
                <w:rFonts w:ascii="Arial" w:hAnsi="Arial" w:cs="Arial"/>
                <w:sz w:val="18"/>
                <w:szCs w:val="18"/>
              </w:rPr>
              <w:t>Potencijalne obveze po osnovi sudskih sporova u tijeku</w:t>
            </w:r>
          </w:p>
        </w:tc>
        <w:tc>
          <w:tcPr>
            <w:tcW w:w="717" w:type="dxa"/>
            <w:tcBorders>
              <w:top w:val="single" w:sz="4" w:space="0" w:color="C0C0C0"/>
              <w:left w:val="nil"/>
              <w:bottom w:val="nil"/>
              <w:right w:val="single" w:sz="4" w:space="0" w:color="000080"/>
            </w:tcBorders>
            <w:shd w:val="clear" w:color="auto" w:fill="auto"/>
            <w:vAlign w:val="center"/>
            <w:hideMark/>
          </w:tcPr>
          <w:p w14:paraId="2E0368EE"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99651</w:t>
            </w:r>
          </w:p>
        </w:tc>
        <w:tc>
          <w:tcPr>
            <w:tcW w:w="1481" w:type="dxa"/>
            <w:tcBorders>
              <w:top w:val="single" w:sz="4" w:space="0" w:color="C0C0C0"/>
              <w:left w:val="nil"/>
              <w:bottom w:val="nil"/>
              <w:right w:val="single" w:sz="4" w:space="0" w:color="000080"/>
            </w:tcBorders>
            <w:shd w:val="clear" w:color="auto" w:fill="auto"/>
            <w:noWrap/>
            <w:vAlign w:val="center"/>
            <w:hideMark/>
          </w:tcPr>
          <w:p w14:paraId="53DD33B9"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411.533.756,60</w:t>
            </w:r>
          </w:p>
        </w:tc>
        <w:tc>
          <w:tcPr>
            <w:tcW w:w="1462" w:type="dxa"/>
            <w:tcBorders>
              <w:top w:val="single" w:sz="4" w:space="0" w:color="C0C0C0"/>
              <w:left w:val="nil"/>
              <w:bottom w:val="nil"/>
              <w:right w:val="single" w:sz="4" w:space="0" w:color="000080"/>
            </w:tcBorders>
            <w:shd w:val="clear" w:color="auto" w:fill="auto"/>
            <w:noWrap/>
            <w:vAlign w:val="center"/>
            <w:hideMark/>
          </w:tcPr>
          <w:p w14:paraId="68162210"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507.742.677,41</w:t>
            </w:r>
          </w:p>
        </w:tc>
        <w:tc>
          <w:tcPr>
            <w:tcW w:w="967" w:type="dxa"/>
            <w:tcBorders>
              <w:top w:val="single" w:sz="4" w:space="0" w:color="C0C0C0"/>
              <w:left w:val="nil"/>
              <w:bottom w:val="nil"/>
              <w:right w:val="single" w:sz="4" w:space="0" w:color="000000"/>
            </w:tcBorders>
            <w:shd w:val="clear" w:color="auto" w:fill="auto"/>
            <w:noWrap/>
            <w:vAlign w:val="center"/>
            <w:hideMark/>
          </w:tcPr>
          <w:p w14:paraId="3425A232"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123,4</w:t>
            </w:r>
          </w:p>
        </w:tc>
      </w:tr>
      <w:tr w:rsidR="00F774AD" w:rsidRPr="00F774AD" w14:paraId="70C2A367" w14:textId="77777777" w:rsidTr="00F774AD">
        <w:trPr>
          <w:trHeight w:val="255"/>
        </w:trPr>
        <w:tc>
          <w:tcPr>
            <w:tcW w:w="971" w:type="dxa"/>
            <w:tcBorders>
              <w:top w:val="single" w:sz="4" w:space="0" w:color="C0C0C0"/>
              <w:left w:val="single" w:sz="4" w:space="0" w:color="000000"/>
              <w:bottom w:val="nil"/>
              <w:right w:val="single" w:sz="4" w:space="0" w:color="000080"/>
            </w:tcBorders>
            <w:shd w:val="clear" w:color="auto" w:fill="auto"/>
            <w:vAlign w:val="center"/>
            <w:hideMark/>
          </w:tcPr>
          <w:p w14:paraId="0BBEA389" w14:textId="77777777" w:rsidR="00F774AD" w:rsidRPr="00F774AD" w:rsidRDefault="00F774AD" w:rsidP="00F774AD">
            <w:pPr>
              <w:rPr>
                <w:rFonts w:ascii="Arial" w:hAnsi="Arial" w:cs="Arial"/>
                <w:sz w:val="18"/>
                <w:szCs w:val="18"/>
              </w:rPr>
            </w:pPr>
            <w:r w:rsidRPr="00F774AD">
              <w:rPr>
                <w:rFonts w:ascii="Arial" w:hAnsi="Arial" w:cs="Arial"/>
                <w:sz w:val="18"/>
                <w:szCs w:val="18"/>
              </w:rPr>
              <w:t>99652</w:t>
            </w:r>
          </w:p>
        </w:tc>
        <w:tc>
          <w:tcPr>
            <w:tcW w:w="8766" w:type="dxa"/>
            <w:tcBorders>
              <w:top w:val="single" w:sz="4" w:space="0" w:color="C0C0C0"/>
              <w:left w:val="nil"/>
              <w:bottom w:val="nil"/>
              <w:right w:val="single" w:sz="4" w:space="0" w:color="000080"/>
            </w:tcBorders>
            <w:shd w:val="clear" w:color="auto" w:fill="auto"/>
            <w:vAlign w:val="center"/>
            <w:hideMark/>
          </w:tcPr>
          <w:p w14:paraId="2B946AFB" w14:textId="77777777" w:rsidR="00F774AD" w:rsidRPr="00F774AD" w:rsidRDefault="00F774AD" w:rsidP="00F774AD">
            <w:pPr>
              <w:rPr>
                <w:rFonts w:ascii="Arial" w:hAnsi="Arial" w:cs="Arial"/>
                <w:sz w:val="18"/>
                <w:szCs w:val="18"/>
              </w:rPr>
            </w:pPr>
            <w:r w:rsidRPr="00F774AD">
              <w:rPr>
                <w:rFonts w:ascii="Arial" w:hAnsi="Arial" w:cs="Arial"/>
                <w:sz w:val="18"/>
                <w:szCs w:val="18"/>
              </w:rPr>
              <w:t xml:space="preserve">Preuzete obveze po ugovorima o nabavi roba, radova i usluga </w:t>
            </w:r>
          </w:p>
        </w:tc>
        <w:tc>
          <w:tcPr>
            <w:tcW w:w="717" w:type="dxa"/>
            <w:tcBorders>
              <w:top w:val="single" w:sz="4" w:space="0" w:color="C0C0C0"/>
              <w:left w:val="nil"/>
              <w:bottom w:val="nil"/>
              <w:right w:val="single" w:sz="4" w:space="0" w:color="000080"/>
            </w:tcBorders>
            <w:shd w:val="clear" w:color="auto" w:fill="auto"/>
            <w:vAlign w:val="center"/>
            <w:hideMark/>
          </w:tcPr>
          <w:p w14:paraId="77D8D91A"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99652</w:t>
            </w:r>
          </w:p>
        </w:tc>
        <w:tc>
          <w:tcPr>
            <w:tcW w:w="1481" w:type="dxa"/>
            <w:tcBorders>
              <w:top w:val="single" w:sz="4" w:space="0" w:color="C0C0C0"/>
              <w:left w:val="nil"/>
              <w:bottom w:val="nil"/>
              <w:right w:val="single" w:sz="4" w:space="0" w:color="000080"/>
            </w:tcBorders>
            <w:shd w:val="clear" w:color="auto" w:fill="auto"/>
            <w:noWrap/>
            <w:vAlign w:val="center"/>
            <w:hideMark/>
          </w:tcPr>
          <w:p w14:paraId="550DA3F2"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 </w:t>
            </w:r>
          </w:p>
        </w:tc>
        <w:tc>
          <w:tcPr>
            <w:tcW w:w="1462" w:type="dxa"/>
            <w:tcBorders>
              <w:top w:val="single" w:sz="4" w:space="0" w:color="C0C0C0"/>
              <w:left w:val="nil"/>
              <w:bottom w:val="nil"/>
              <w:right w:val="single" w:sz="4" w:space="0" w:color="000080"/>
            </w:tcBorders>
            <w:shd w:val="clear" w:color="auto" w:fill="auto"/>
            <w:noWrap/>
            <w:vAlign w:val="center"/>
            <w:hideMark/>
          </w:tcPr>
          <w:p w14:paraId="07574B2B"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639.338.979,89</w:t>
            </w:r>
          </w:p>
        </w:tc>
        <w:tc>
          <w:tcPr>
            <w:tcW w:w="967" w:type="dxa"/>
            <w:tcBorders>
              <w:top w:val="single" w:sz="4" w:space="0" w:color="C0C0C0"/>
              <w:left w:val="nil"/>
              <w:bottom w:val="nil"/>
              <w:right w:val="single" w:sz="4" w:space="0" w:color="000000"/>
            </w:tcBorders>
            <w:shd w:val="clear" w:color="auto" w:fill="auto"/>
            <w:noWrap/>
            <w:vAlign w:val="center"/>
            <w:hideMark/>
          </w:tcPr>
          <w:p w14:paraId="3AEB5257"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w:t>
            </w:r>
          </w:p>
        </w:tc>
      </w:tr>
      <w:tr w:rsidR="00F774AD" w:rsidRPr="00F774AD" w14:paraId="234BE5DE" w14:textId="77777777" w:rsidTr="00F774AD">
        <w:trPr>
          <w:trHeight w:val="480"/>
        </w:trPr>
        <w:tc>
          <w:tcPr>
            <w:tcW w:w="971" w:type="dxa"/>
            <w:tcBorders>
              <w:top w:val="single" w:sz="4" w:space="0" w:color="C0C0C0"/>
              <w:left w:val="single" w:sz="4" w:space="0" w:color="000000"/>
              <w:bottom w:val="nil"/>
              <w:right w:val="single" w:sz="4" w:space="0" w:color="000080"/>
            </w:tcBorders>
            <w:shd w:val="clear" w:color="auto" w:fill="auto"/>
            <w:vAlign w:val="center"/>
            <w:hideMark/>
          </w:tcPr>
          <w:p w14:paraId="7603916A" w14:textId="77777777" w:rsidR="00F774AD" w:rsidRPr="00F774AD" w:rsidRDefault="00F774AD" w:rsidP="00F774AD">
            <w:pPr>
              <w:rPr>
                <w:rFonts w:ascii="Arial" w:hAnsi="Arial" w:cs="Arial"/>
                <w:sz w:val="18"/>
                <w:szCs w:val="18"/>
              </w:rPr>
            </w:pPr>
            <w:r w:rsidRPr="00F774AD">
              <w:rPr>
                <w:rFonts w:ascii="Arial" w:hAnsi="Arial" w:cs="Arial"/>
                <w:sz w:val="18"/>
                <w:szCs w:val="18"/>
              </w:rPr>
              <w:t>99653</w:t>
            </w:r>
          </w:p>
        </w:tc>
        <w:tc>
          <w:tcPr>
            <w:tcW w:w="8766" w:type="dxa"/>
            <w:tcBorders>
              <w:top w:val="single" w:sz="4" w:space="0" w:color="C0C0C0"/>
              <w:left w:val="nil"/>
              <w:bottom w:val="nil"/>
              <w:right w:val="single" w:sz="4" w:space="0" w:color="000080"/>
            </w:tcBorders>
            <w:shd w:val="clear" w:color="auto" w:fill="auto"/>
            <w:vAlign w:val="center"/>
            <w:hideMark/>
          </w:tcPr>
          <w:p w14:paraId="01EE7809" w14:textId="77777777" w:rsidR="00F774AD" w:rsidRPr="00F774AD" w:rsidRDefault="00F774AD" w:rsidP="00F774AD">
            <w:pPr>
              <w:rPr>
                <w:rFonts w:ascii="Arial" w:hAnsi="Arial" w:cs="Arial"/>
                <w:sz w:val="18"/>
                <w:szCs w:val="18"/>
              </w:rPr>
            </w:pPr>
            <w:r w:rsidRPr="00F774AD">
              <w:rPr>
                <w:rFonts w:ascii="Arial" w:hAnsi="Arial" w:cs="Arial"/>
                <w:sz w:val="18"/>
                <w:szCs w:val="18"/>
              </w:rPr>
              <w:t xml:space="preserve">Preuzete obveze po ugovorima o dodjeli bespovratnih sredstava iz EU fondova </w:t>
            </w:r>
          </w:p>
        </w:tc>
        <w:tc>
          <w:tcPr>
            <w:tcW w:w="717" w:type="dxa"/>
            <w:tcBorders>
              <w:top w:val="single" w:sz="4" w:space="0" w:color="C0C0C0"/>
              <w:left w:val="nil"/>
              <w:bottom w:val="nil"/>
              <w:right w:val="single" w:sz="4" w:space="0" w:color="000080"/>
            </w:tcBorders>
            <w:shd w:val="clear" w:color="auto" w:fill="auto"/>
            <w:vAlign w:val="center"/>
            <w:hideMark/>
          </w:tcPr>
          <w:p w14:paraId="347FB3BB"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99653</w:t>
            </w:r>
          </w:p>
        </w:tc>
        <w:tc>
          <w:tcPr>
            <w:tcW w:w="1481" w:type="dxa"/>
            <w:tcBorders>
              <w:top w:val="single" w:sz="4" w:space="0" w:color="C0C0C0"/>
              <w:left w:val="nil"/>
              <w:bottom w:val="nil"/>
              <w:right w:val="single" w:sz="4" w:space="0" w:color="000080"/>
            </w:tcBorders>
            <w:shd w:val="clear" w:color="auto" w:fill="auto"/>
            <w:noWrap/>
            <w:vAlign w:val="center"/>
            <w:hideMark/>
          </w:tcPr>
          <w:p w14:paraId="221EEB33"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 </w:t>
            </w:r>
          </w:p>
        </w:tc>
        <w:tc>
          <w:tcPr>
            <w:tcW w:w="1462" w:type="dxa"/>
            <w:tcBorders>
              <w:top w:val="single" w:sz="4" w:space="0" w:color="C0C0C0"/>
              <w:left w:val="nil"/>
              <w:bottom w:val="nil"/>
              <w:right w:val="single" w:sz="4" w:space="0" w:color="000080"/>
            </w:tcBorders>
            <w:shd w:val="clear" w:color="auto" w:fill="auto"/>
            <w:noWrap/>
            <w:vAlign w:val="center"/>
            <w:hideMark/>
          </w:tcPr>
          <w:p w14:paraId="1731BAFA"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959.915.400,80</w:t>
            </w:r>
          </w:p>
        </w:tc>
        <w:tc>
          <w:tcPr>
            <w:tcW w:w="967" w:type="dxa"/>
            <w:tcBorders>
              <w:top w:val="single" w:sz="4" w:space="0" w:color="C0C0C0"/>
              <w:left w:val="nil"/>
              <w:bottom w:val="nil"/>
              <w:right w:val="single" w:sz="4" w:space="0" w:color="000000"/>
            </w:tcBorders>
            <w:shd w:val="clear" w:color="auto" w:fill="auto"/>
            <w:noWrap/>
            <w:vAlign w:val="center"/>
            <w:hideMark/>
          </w:tcPr>
          <w:p w14:paraId="69DECC2E"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w:t>
            </w:r>
          </w:p>
        </w:tc>
      </w:tr>
      <w:tr w:rsidR="00F774AD" w:rsidRPr="00F774AD" w14:paraId="73E2413D" w14:textId="77777777" w:rsidTr="00F774AD">
        <w:trPr>
          <w:trHeight w:val="480"/>
        </w:trPr>
        <w:tc>
          <w:tcPr>
            <w:tcW w:w="971" w:type="dxa"/>
            <w:tcBorders>
              <w:top w:val="single" w:sz="4" w:space="0" w:color="C0C0C0"/>
              <w:left w:val="single" w:sz="4" w:space="0" w:color="000000"/>
              <w:bottom w:val="nil"/>
              <w:right w:val="single" w:sz="4" w:space="0" w:color="000080"/>
            </w:tcBorders>
            <w:shd w:val="clear" w:color="auto" w:fill="auto"/>
            <w:vAlign w:val="center"/>
            <w:hideMark/>
          </w:tcPr>
          <w:p w14:paraId="148F5AFB" w14:textId="77777777" w:rsidR="00F774AD" w:rsidRPr="00F774AD" w:rsidRDefault="00F774AD" w:rsidP="00F774AD">
            <w:pPr>
              <w:rPr>
                <w:rFonts w:ascii="Arial" w:hAnsi="Arial" w:cs="Arial"/>
                <w:sz w:val="18"/>
                <w:szCs w:val="18"/>
              </w:rPr>
            </w:pPr>
            <w:r w:rsidRPr="00F774AD">
              <w:rPr>
                <w:rFonts w:ascii="Arial" w:hAnsi="Arial" w:cs="Arial"/>
                <w:sz w:val="18"/>
                <w:szCs w:val="18"/>
              </w:rPr>
              <w:t>99671</w:t>
            </w:r>
          </w:p>
        </w:tc>
        <w:tc>
          <w:tcPr>
            <w:tcW w:w="8766" w:type="dxa"/>
            <w:tcBorders>
              <w:top w:val="single" w:sz="4" w:space="0" w:color="C0C0C0"/>
              <w:left w:val="nil"/>
              <w:bottom w:val="nil"/>
              <w:right w:val="single" w:sz="4" w:space="0" w:color="000080"/>
            </w:tcBorders>
            <w:shd w:val="clear" w:color="auto" w:fill="auto"/>
            <w:vAlign w:val="center"/>
            <w:hideMark/>
          </w:tcPr>
          <w:p w14:paraId="5AA20E0C" w14:textId="77777777" w:rsidR="00F774AD" w:rsidRPr="00F774AD" w:rsidRDefault="00F774AD" w:rsidP="00F774AD">
            <w:pPr>
              <w:rPr>
                <w:rFonts w:ascii="Arial" w:hAnsi="Arial" w:cs="Arial"/>
                <w:sz w:val="18"/>
                <w:szCs w:val="18"/>
              </w:rPr>
            </w:pPr>
            <w:r w:rsidRPr="00F774AD">
              <w:rPr>
                <w:rFonts w:ascii="Arial" w:hAnsi="Arial" w:cs="Arial"/>
                <w:sz w:val="18"/>
                <w:szCs w:val="18"/>
              </w:rPr>
              <w:t xml:space="preserve">Potraživanja po ugovorima o dodijeljenim bespovratnim sredstvima iz EU fondova </w:t>
            </w:r>
          </w:p>
        </w:tc>
        <w:tc>
          <w:tcPr>
            <w:tcW w:w="717" w:type="dxa"/>
            <w:tcBorders>
              <w:top w:val="single" w:sz="4" w:space="0" w:color="C0C0C0"/>
              <w:left w:val="nil"/>
              <w:bottom w:val="nil"/>
              <w:right w:val="single" w:sz="4" w:space="0" w:color="000080"/>
            </w:tcBorders>
            <w:shd w:val="clear" w:color="auto" w:fill="auto"/>
            <w:vAlign w:val="center"/>
            <w:hideMark/>
          </w:tcPr>
          <w:p w14:paraId="1601CB69"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99671</w:t>
            </w:r>
          </w:p>
        </w:tc>
        <w:tc>
          <w:tcPr>
            <w:tcW w:w="1481" w:type="dxa"/>
            <w:tcBorders>
              <w:top w:val="single" w:sz="4" w:space="0" w:color="C0C0C0"/>
              <w:left w:val="nil"/>
              <w:bottom w:val="nil"/>
              <w:right w:val="single" w:sz="4" w:space="0" w:color="000080"/>
            </w:tcBorders>
            <w:shd w:val="clear" w:color="auto" w:fill="auto"/>
            <w:noWrap/>
            <w:vAlign w:val="center"/>
            <w:hideMark/>
          </w:tcPr>
          <w:p w14:paraId="5DE547F2"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 </w:t>
            </w:r>
          </w:p>
        </w:tc>
        <w:tc>
          <w:tcPr>
            <w:tcW w:w="1462" w:type="dxa"/>
            <w:tcBorders>
              <w:top w:val="single" w:sz="4" w:space="0" w:color="C0C0C0"/>
              <w:left w:val="nil"/>
              <w:bottom w:val="nil"/>
              <w:right w:val="single" w:sz="4" w:space="0" w:color="000080"/>
            </w:tcBorders>
            <w:shd w:val="clear" w:color="auto" w:fill="auto"/>
            <w:noWrap/>
            <w:vAlign w:val="center"/>
            <w:hideMark/>
          </w:tcPr>
          <w:p w14:paraId="4005EFB9"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17.553.266,84</w:t>
            </w:r>
          </w:p>
        </w:tc>
        <w:tc>
          <w:tcPr>
            <w:tcW w:w="967" w:type="dxa"/>
            <w:tcBorders>
              <w:top w:val="single" w:sz="4" w:space="0" w:color="C0C0C0"/>
              <w:left w:val="nil"/>
              <w:bottom w:val="nil"/>
              <w:right w:val="single" w:sz="4" w:space="0" w:color="000000"/>
            </w:tcBorders>
            <w:shd w:val="clear" w:color="auto" w:fill="auto"/>
            <w:noWrap/>
            <w:vAlign w:val="center"/>
            <w:hideMark/>
          </w:tcPr>
          <w:p w14:paraId="3ECA59C2"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w:t>
            </w:r>
          </w:p>
        </w:tc>
      </w:tr>
      <w:tr w:rsidR="00F774AD" w:rsidRPr="00F774AD" w14:paraId="3AC48813" w14:textId="77777777" w:rsidTr="00F774AD">
        <w:trPr>
          <w:trHeight w:val="255"/>
        </w:trPr>
        <w:tc>
          <w:tcPr>
            <w:tcW w:w="971" w:type="dxa"/>
            <w:tcBorders>
              <w:top w:val="single" w:sz="4" w:space="0" w:color="C0C0C0"/>
              <w:left w:val="single" w:sz="4" w:space="0" w:color="000000"/>
              <w:bottom w:val="single" w:sz="4" w:space="0" w:color="000000"/>
              <w:right w:val="single" w:sz="4" w:space="0" w:color="000080"/>
            </w:tcBorders>
            <w:shd w:val="clear" w:color="auto" w:fill="auto"/>
            <w:vAlign w:val="center"/>
            <w:hideMark/>
          </w:tcPr>
          <w:p w14:paraId="49EDB23A" w14:textId="77777777" w:rsidR="00F774AD" w:rsidRPr="00F774AD" w:rsidRDefault="00F774AD" w:rsidP="00F774AD">
            <w:pPr>
              <w:rPr>
                <w:rFonts w:ascii="Arial" w:hAnsi="Arial" w:cs="Arial"/>
                <w:sz w:val="18"/>
                <w:szCs w:val="18"/>
              </w:rPr>
            </w:pPr>
            <w:r w:rsidRPr="00F774AD">
              <w:rPr>
                <w:rFonts w:ascii="Arial" w:hAnsi="Arial" w:cs="Arial"/>
                <w:sz w:val="18"/>
                <w:szCs w:val="18"/>
              </w:rPr>
              <w:t>99691</w:t>
            </w:r>
          </w:p>
        </w:tc>
        <w:tc>
          <w:tcPr>
            <w:tcW w:w="8766" w:type="dxa"/>
            <w:tcBorders>
              <w:top w:val="single" w:sz="4" w:space="0" w:color="C0C0C0"/>
              <w:left w:val="nil"/>
              <w:bottom w:val="single" w:sz="4" w:space="0" w:color="000000"/>
              <w:right w:val="single" w:sz="4" w:space="0" w:color="000080"/>
            </w:tcBorders>
            <w:shd w:val="clear" w:color="auto" w:fill="auto"/>
            <w:vAlign w:val="center"/>
            <w:hideMark/>
          </w:tcPr>
          <w:p w14:paraId="3EDB38A8" w14:textId="77777777" w:rsidR="00F774AD" w:rsidRPr="00F774AD" w:rsidRDefault="00F774AD" w:rsidP="00F774AD">
            <w:pPr>
              <w:rPr>
                <w:rFonts w:ascii="Arial" w:hAnsi="Arial" w:cs="Arial"/>
                <w:sz w:val="18"/>
                <w:szCs w:val="18"/>
              </w:rPr>
            </w:pPr>
            <w:r w:rsidRPr="00F774AD">
              <w:rPr>
                <w:rFonts w:ascii="Arial" w:hAnsi="Arial" w:cs="Arial"/>
                <w:sz w:val="18"/>
                <w:szCs w:val="18"/>
              </w:rPr>
              <w:t xml:space="preserve">Ostali </w:t>
            </w:r>
            <w:proofErr w:type="spellStart"/>
            <w:r w:rsidRPr="00F774AD">
              <w:rPr>
                <w:rFonts w:ascii="Arial" w:hAnsi="Arial" w:cs="Arial"/>
                <w:sz w:val="18"/>
                <w:szCs w:val="18"/>
              </w:rPr>
              <w:t>izvanbilančni</w:t>
            </w:r>
            <w:proofErr w:type="spellEnd"/>
            <w:r w:rsidRPr="00F774AD">
              <w:rPr>
                <w:rFonts w:ascii="Arial" w:hAnsi="Arial" w:cs="Arial"/>
                <w:sz w:val="18"/>
                <w:szCs w:val="18"/>
              </w:rPr>
              <w:t xml:space="preserve"> zapisi</w:t>
            </w:r>
          </w:p>
        </w:tc>
        <w:tc>
          <w:tcPr>
            <w:tcW w:w="717" w:type="dxa"/>
            <w:tcBorders>
              <w:top w:val="single" w:sz="4" w:space="0" w:color="C0C0C0"/>
              <w:left w:val="nil"/>
              <w:bottom w:val="single" w:sz="4" w:space="0" w:color="auto"/>
              <w:right w:val="single" w:sz="4" w:space="0" w:color="000080"/>
            </w:tcBorders>
            <w:shd w:val="clear" w:color="auto" w:fill="auto"/>
            <w:vAlign w:val="center"/>
            <w:hideMark/>
          </w:tcPr>
          <w:p w14:paraId="7B1959D9" w14:textId="77777777" w:rsidR="00F774AD" w:rsidRPr="00F774AD" w:rsidRDefault="00F774AD" w:rsidP="00F774AD">
            <w:pPr>
              <w:rPr>
                <w:rFonts w:ascii="Arial" w:hAnsi="Arial" w:cs="Arial"/>
                <w:b/>
                <w:bCs/>
                <w:sz w:val="18"/>
                <w:szCs w:val="18"/>
              </w:rPr>
            </w:pPr>
            <w:r w:rsidRPr="00F774AD">
              <w:rPr>
                <w:rFonts w:ascii="Arial" w:hAnsi="Arial" w:cs="Arial"/>
                <w:b/>
                <w:bCs/>
                <w:sz w:val="18"/>
                <w:szCs w:val="18"/>
              </w:rPr>
              <w:t>99691</w:t>
            </w:r>
          </w:p>
        </w:tc>
        <w:tc>
          <w:tcPr>
            <w:tcW w:w="1481" w:type="dxa"/>
            <w:tcBorders>
              <w:top w:val="single" w:sz="4" w:space="0" w:color="C0C0C0"/>
              <w:left w:val="nil"/>
              <w:bottom w:val="single" w:sz="4" w:space="0" w:color="000000"/>
              <w:right w:val="single" w:sz="4" w:space="0" w:color="000080"/>
            </w:tcBorders>
            <w:shd w:val="clear" w:color="auto" w:fill="auto"/>
            <w:noWrap/>
            <w:vAlign w:val="center"/>
            <w:hideMark/>
          </w:tcPr>
          <w:p w14:paraId="1698CB5A"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1.105.586.130,27</w:t>
            </w:r>
          </w:p>
        </w:tc>
        <w:tc>
          <w:tcPr>
            <w:tcW w:w="1462" w:type="dxa"/>
            <w:tcBorders>
              <w:top w:val="single" w:sz="4" w:space="0" w:color="C0C0C0"/>
              <w:left w:val="nil"/>
              <w:bottom w:val="single" w:sz="4" w:space="0" w:color="000000"/>
              <w:right w:val="single" w:sz="4" w:space="0" w:color="000000"/>
            </w:tcBorders>
            <w:shd w:val="clear" w:color="auto" w:fill="auto"/>
            <w:noWrap/>
            <w:vAlign w:val="center"/>
            <w:hideMark/>
          </w:tcPr>
          <w:p w14:paraId="7EBDF65C" w14:textId="77777777" w:rsidR="00F774AD" w:rsidRPr="00F774AD" w:rsidRDefault="00F774AD" w:rsidP="00F774AD">
            <w:pPr>
              <w:jc w:val="right"/>
              <w:rPr>
                <w:rFonts w:ascii="Arial" w:hAnsi="Arial" w:cs="Arial"/>
                <w:sz w:val="16"/>
                <w:szCs w:val="16"/>
              </w:rPr>
            </w:pPr>
            <w:r w:rsidRPr="00F774AD">
              <w:rPr>
                <w:rFonts w:ascii="Arial" w:hAnsi="Arial" w:cs="Arial"/>
                <w:sz w:val="16"/>
                <w:szCs w:val="16"/>
              </w:rPr>
              <w:t>417.817,67</w:t>
            </w:r>
          </w:p>
        </w:tc>
        <w:tc>
          <w:tcPr>
            <w:tcW w:w="967" w:type="dxa"/>
            <w:tcBorders>
              <w:top w:val="single" w:sz="4" w:space="0" w:color="C0C0C0"/>
              <w:left w:val="nil"/>
              <w:bottom w:val="single" w:sz="4" w:space="0" w:color="000000"/>
              <w:right w:val="single" w:sz="4" w:space="0" w:color="000080"/>
            </w:tcBorders>
            <w:shd w:val="clear" w:color="auto" w:fill="auto"/>
            <w:vAlign w:val="center"/>
            <w:hideMark/>
          </w:tcPr>
          <w:p w14:paraId="58A1303D" w14:textId="77777777" w:rsidR="00F774AD" w:rsidRPr="00F774AD" w:rsidRDefault="00F774AD" w:rsidP="00F774AD">
            <w:pPr>
              <w:jc w:val="right"/>
              <w:rPr>
                <w:rFonts w:ascii="Arial" w:hAnsi="Arial" w:cs="Arial"/>
                <w:sz w:val="18"/>
                <w:szCs w:val="18"/>
              </w:rPr>
            </w:pPr>
            <w:r w:rsidRPr="00F774AD">
              <w:rPr>
                <w:rFonts w:ascii="Arial" w:hAnsi="Arial" w:cs="Arial"/>
                <w:sz w:val="18"/>
                <w:szCs w:val="18"/>
              </w:rPr>
              <w:t>0,037792</w:t>
            </w:r>
          </w:p>
        </w:tc>
      </w:tr>
    </w:tbl>
    <w:p w14:paraId="20F76B2E" w14:textId="53EB80EF" w:rsidR="00E80CD3" w:rsidRDefault="00E80CD3" w:rsidP="00EF490C">
      <w:pPr>
        <w:spacing w:after="160" w:line="259" w:lineRule="auto"/>
        <w:ind w:left="-142"/>
        <w:jc w:val="both"/>
        <w:rPr>
          <w:rFonts w:ascii="Calibri" w:hAnsi="Calibri"/>
          <w:sz w:val="22"/>
          <w:szCs w:val="22"/>
        </w:rPr>
      </w:pPr>
    </w:p>
    <w:p w14:paraId="0CBE286B" w14:textId="6C97BEF4" w:rsidR="00E80CD3" w:rsidRDefault="00E80CD3" w:rsidP="00EF490C">
      <w:pPr>
        <w:spacing w:after="160" w:line="259" w:lineRule="auto"/>
        <w:ind w:left="-142"/>
        <w:jc w:val="both"/>
        <w:rPr>
          <w:rFonts w:ascii="Calibri" w:hAnsi="Calibri"/>
          <w:sz w:val="22"/>
          <w:szCs w:val="22"/>
        </w:rPr>
      </w:pPr>
    </w:p>
    <w:p w14:paraId="1485884F" w14:textId="7FC15EA4" w:rsidR="00E80CD3" w:rsidRDefault="00E80CD3" w:rsidP="00EF490C">
      <w:pPr>
        <w:spacing w:after="160" w:line="259" w:lineRule="auto"/>
        <w:ind w:left="-142"/>
        <w:jc w:val="both"/>
        <w:rPr>
          <w:rFonts w:ascii="Calibri" w:hAnsi="Calibri"/>
          <w:sz w:val="22"/>
          <w:szCs w:val="22"/>
        </w:rPr>
      </w:pPr>
    </w:p>
    <w:p w14:paraId="3858A806" w14:textId="4474A813" w:rsidR="00E80CD3" w:rsidRDefault="00E80CD3" w:rsidP="00EF490C">
      <w:pPr>
        <w:spacing w:after="160" w:line="259" w:lineRule="auto"/>
        <w:ind w:left="-142"/>
        <w:jc w:val="both"/>
        <w:rPr>
          <w:rFonts w:ascii="Calibri" w:hAnsi="Calibri"/>
          <w:sz w:val="22"/>
          <w:szCs w:val="22"/>
        </w:rPr>
      </w:pPr>
    </w:p>
    <w:p w14:paraId="4A60C648" w14:textId="68FB0862" w:rsidR="00E80CD3" w:rsidRDefault="00E80CD3" w:rsidP="00EF490C">
      <w:pPr>
        <w:spacing w:after="160" w:line="259" w:lineRule="auto"/>
        <w:ind w:left="-142"/>
        <w:jc w:val="both"/>
        <w:rPr>
          <w:rFonts w:ascii="Calibri" w:hAnsi="Calibri"/>
          <w:sz w:val="22"/>
          <w:szCs w:val="22"/>
        </w:rPr>
      </w:pPr>
    </w:p>
    <w:p w14:paraId="017D8CCB" w14:textId="4B7DA4BD" w:rsidR="00E80CD3" w:rsidRDefault="00E80CD3" w:rsidP="00EF490C">
      <w:pPr>
        <w:spacing w:after="160" w:line="259" w:lineRule="auto"/>
        <w:ind w:left="-142"/>
        <w:jc w:val="both"/>
        <w:rPr>
          <w:rFonts w:ascii="Calibri" w:hAnsi="Calibri"/>
          <w:sz w:val="22"/>
          <w:szCs w:val="22"/>
        </w:rPr>
      </w:pPr>
    </w:p>
    <w:tbl>
      <w:tblPr>
        <w:tblW w:w="14317" w:type="dxa"/>
        <w:tblLook w:val="04A0" w:firstRow="1" w:lastRow="0" w:firstColumn="1" w:lastColumn="0" w:noHBand="0" w:noVBand="1"/>
      </w:tblPr>
      <w:tblGrid>
        <w:gridCol w:w="1400"/>
        <w:gridCol w:w="6380"/>
        <w:gridCol w:w="1340"/>
        <w:gridCol w:w="1540"/>
        <w:gridCol w:w="1540"/>
        <w:gridCol w:w="2117"/>
      </w:tblGrid>
      <w:tr w:rsidR="007B3FD5" w:rsidRPr="007B3FD5" w14:paraId="4CE041D0" w14:textId="77777777" w:rsidTr="00145A75">
        <w:trPr>
          <w:trHeight w:val="1002"/>
        </w:trPr>
        <w:tc>
          <w:tcPr>
            <w:tcW w:w="14317" w:type="dxa"/>
            <w:gridSpan w:val="6"/>
            <w:tcBorders>
              <w:top w:val="nil"/>
              <w:left w:val="nil"/>
              <w:bottom w:val="nil"/>
              <w:right w:val="nil"/>
            </w:tcBorders>
            <w:shd w:val="clear" w:color="auto" w:fill="auto"/>
            <w:noWrap/>
            <w:vAlign w:val="center"/>
            <w:hideMark/>
          </w:tcPr>
          <w:p w14:paraId="72CD6673" w14:textId="77777777" w:rsidR="007B3FD5" w:rsidRPr="007B3FD5" w:rsidRDefault="007B3FD5" w:rsidP="007B3FD5">
            <w:pPr>
              <w:jc w:val="center"/>
              <w:rPr>
                <w:rFonts w:ascii="Arial" w:hAnsi="Arial" w:cs="Arial"/>
                <w:b/>
                <w:bCs/>
                <w:color w:val="0C0C0C"/>
                <w:sz w:val="28"/>
                <w:szCs w:val="28"/>
              </w:rPr>
            </w:pPr>
            <w:r w:rsidRPr="007B3FD5">
              <w:rPr>
                <w:rFonts w:ascii="Arial" w:hAnsi="Arial" w:cs="Arial"/>
                <w:b/>
                <w:bCs/>
                <w:color w:val="0C0C0C"/>
                <w:sz w:val="28"/>
                <w:szCs w:val="28"/>
              </w:rPr>
              <w:lastRenderedPageBreak/>
              <w:t>IZVJEŠTAJ O RASHODIMA PREMA FUNKCIJSKOJ KLASIFIKACIJI</w:t>
            </w:r>
          </w:p>
        </w:tc>
      </w:tr>
      <w:tr w:rsidR="007B3FD5" w:rsidRPr="007B3FD5" w14:paraId="1373E3F8" w14:textId="77777777" w:rsidTr="00145A75">
        <w:trPr>
          <w:trHeight w:val="960"/>
        </w:trPr>
        <w:tc>
          <w:tcPr>
            <w:tcW w:w="1400" w:type="dxa"/>
            <w:tcBorders>
              <w:top w:val="single" w:sz="4" w:space="0" w:color="000000"/>
              <w:left w:val="single" w:sz="4" w:space="0" w:color="000000"/>
              <w:bottom w:val="single" w:sz="4" w:space="0" w:color="000000"/>
              <w:right w:val="single" w:sz="4" w:space="0" w:color="000080"/>
            </w:tcBorders>
            <w:shd w:val="clear" w:color="auto" w:fill="auto"/>
            <w:vAlign w:val="center"/>
            <w:hideMark/>
          </w:tcPr>
          <w:p w14:paraId="5249A21A" w14:textId="77777777" w:rsidR="007B3FD5" w:rsidRPr="007B3FD5" w:rsidRDefault="007B3FD5" w:rsidP="007B3FD5">
            <w:pPr>
              <w:jc w:val="center"/>
              <w:rPr>
                <w:rFonts w:ascii="Arial" w:hAnsi="Arial" w:cs="Arial"/>
                <w:b/>
                <w:bCs/>
                <w:color w:val="000000"/>
                <w:sz w:val="18"/>
                <w:szCs w:val="18"/>
              </w:rPr>
            </w:pPr>
            <w:proofErr w:type="spellStart"/>
            <w:r w:rsidRPr="007B3FD5">
              <w:rPr>
                <w:rFonts w:ascii="Arial" w:hAnsi="Arial" w:cs="Arial"/>
                <w:b/>
                <w:bCs/>
                <w:color w:val="000000"/>
                <w:sz w:val="18"/>
                <w:szCs w:val="18"/>
              </w:rPr>
              <w:t>Brojč</w:t>
            </w:r>
            <w:proofErr w:type="spellEnd"/>
            <w:r w:rsidRPr="007B3FD5">
              <w:rPr>
                <w:rFonts w:ascii="Arial" w:hAnsi="Arial" w:cs="Arial"/>
                <w:b/>
                <w:bCs/>
                <w:color w:val="000000"/>
                <w:sz w:val="18"/>
                <w:szCs w:val="18"/>
              </w:rPr>
              <w:t xml:space="preserve">. </w:t>
            </w:r>
            <w:proofErr w:type="spellStart"/>
            <w:r w:rsidRPr="007B3FD5">
              <w:rPr>
                <w:rFonts w:ascii="Arial" w:hAnsi="Arial" w:cs="Arial"/>
                <w:b/>
                <w:bCs/>
                <w:color w:val="000000"/>
                <w:sz w:val="18"/>
                <w:szCs w:val="18"/>
              </w:rPr>
              <w:t>ozn</w:t>
            </w:r>
            <w:proofErr w:type="spellEnd"/>
            <w:r w:rsidRPr="007B3FD5">
              <w:rPr>
                <w:rFonts w:ascii="Arial" w:hAnsi="Arial" w:cs="Arial"/>
                <w:b/>
                <w:bCs/>
                <w:color w:val="000000"/>
                <w:sz w:val="18"/>
                <w:szCs w:val="18"/>
              </w:rPr>
              <w:t>. funk. klas.</w:t>
            </w:r>
          </w:p>
        </w:tc>
        <w:tc>
          <w:tcPr>
            <w:tcW w:w="6380" w:type="dxa"/>
            <w:tcBorders>
              <w:top w:val="single" w:sz="4" w:space="0" w:color="000000"/>
              <w:left w:val="nil"/>
              <w:bottom w:val="single" w:sz="4" w:space="0" w:color="000000"/>
              <w:right w:val="single" w:sz="4" w:space="0" w:color="000080"/>
            </w:tcBorders>
            <w:shd w:val="clear" w:color="auto" w:fill="auto"/>
            <w:vAlign w:val="center"/>
            <w:hideMark/>
          </w:tcPr>
          <w:p w14:paraId="6DDC9B9B" w14:textId="77777777" w:rsidR="007B3FD5" w:rsidRPr="007B3FD5" w:rsidRDefault="007B3FD5" w:rsidP="007B3FD5">
            <w:pPr>
              <w:jc w:val="center"/>
              <w:rPr>
                <w:rFonts w:ascii="Arial" w:hAnsi="Arial" w:cs="Arial"/>
                <w:b/>
                <w:bCs/>
                <w:color w:val="000000"/>
                <w:sz w:val="18"/>
                <w:szCs w:val="18"/>
              </w:rPr>
            </w:pPr>
            <w:r w:rsidRPr="007B3FD5">
              <w:rPr>
                <w:rFonts w:ascii="Arial" w:hAnsi="Arial" w:cs="Arial"/>
                <w:b/>
                <w:bCs/>
                <w:color w:val="000000"/>
                <w:sz w:val="18"/>
                <w:szCs w:val="18"/>
              </w:rPr>
              <w:t>Opis stavke</w:t>
            </w:r>
          </w:p>
        </w:tc>
        <w:tc>
          <w:tcPr>
            <w:tcW w:w="1340" w:type="dxa"/>
            <w:tcBorders>
              <w:top w:val="single" w:sz="4" w:space="0" w:color="000000"/>
              <w:left w:val="nil"/>
              <w:bottom w:val="nil"/>
              <w:right w:val="single" w:sz="4" w:space="0" w:color="000080"/>
            </w:tcBorders>
            <w:shd w:val="clear" w:color="auto" w:fill="auto"/>
            <w:vAlign w:val="center"/>
            <w:hideMark/>
          </w:tcPr>
          <w:p w14:paraId="434A732F" w14:textId="77777777" w:rsidR="007B3FD5" w:rsidRPr="007B3FD5" w:rsidRDefault="007B3FD5" w:rsidP="007B3FD5">
            <w:pPr>
              <w:jc w:val="center"/>
              <w:rPr>
                <w:rFonts w:ascii="Arial" w:hAnsi="Arial" w:cs="Arial"/>
                <w:b/>
                <w:bCs/>
                <w:color w:val="0C0C0C"/>
                <w:sz w:val="18"/>
                <w:szCs w:val="18"/>
              </w:rPr>
            </w:pPr>
            <w:r w:rsidRPr="007B3FD5">
              <w:rPr>
                <w:rFonts w:ascii="Arial" w:hAnsi="Arial" w:cs="Arial"/>
                <w:b/>
                <w:bCs/>
                <w:color w:val="0C0C0C"/>
                <w:sz w:val="18"/>
                <w:szCs w:val="18"/>
              </w:rPr>
              <w:t>Šifra</w:t>
            </w:r>
          </w:p>
        </w:tc>
        <w:tc>
          <w:tcPr>
            <w:tcW w:w="1540" w:type="dxa"/>
            <w:tcBorders>
              <w:top w:val="single" w:sz="4" w:space="0" w:color="000000"/>
              <w:left w:val="nil"/>
              <w:bottom w:val="single" w:sz="4" w:space="0" w:color="000000"/>
              <w:right w:val="single" w:sz="4" w:space="0" w:color="000080"/>
            </w:tcBorders>
            <w:shd w:val="clear" w:color="auto" w:fill="auto"/>
            <w:vAlign w:val="center"/>
            <w:hideMark/>
          </w:tcPr>
          <w:p w14:paraId="1A319EE1" w14:textId="77777777" w:rsidR="007B3FD5" w:rsidRPr="007B3FD5" w:rsidRDefault="007B3FD5" w:rsidP="007B3FD5">
            <w:pPr>
              <w:jc w:val="center"/>
              <w:rPr>
                <w:rFonts w:ascii="Arial" w:hAnsi="Arial" w:cs="Arial"/>
                <w:b/>
                <w:bCs/>
                <w:color w:val="000000"/>
                <w:sz w:val="18"/>
                <w:szCs w:val="18"/>
              </w:rPr>
            </w:pPr>
            <w:r w:rsidRPr="007B3FD5">
              <w:rPr>
                <w:rFonts w:ascii="Arial" w:hAnsi="Arial" w:cs="Arial"/>
                <w:b/>
                <w:bCs/>
                <w:color w:val="000000"/>
                <w:sz w:val="18"/>
                <w:szCs w:val="18"/>
              </w:rPr>
              <w:t xml:space="preserve">Ostvareno u izvještajnom razdoblju </w:t>
            </w:r>
            <w:proofErr w:type="spellStart"/>
            <w:r w:rsidRPr="007B3FD5">
              <w:rPr>
                <w:rFonts w:ascii="Arial" w:hAnsi="Arial" w:cs="Arial"/>
                <w:b/>
                <w:bCs/>
                <w:color w:val="000000"/>
                <w:sz w:val="18"/>
                <w:szCs w:val="18"/>
              </w:rPr>
              <w:t>preth</w:t>
            </w:r>
            <w:proofErr w:type="spellEnd"/>
            <w:r w:rsidRPr="007B3FD5">
              <w:rPr>
                <w:rFonts w:ascii="Arial" w:hAnsi="Arial" w:cs="Arial"/>
                <w:b/>
                <w:bCs/>
                <w:color w:val="000000"/>
                <w:sz w:val="18"/>
                <w:szCs w:val="18"/>
              </w:rPr>
              <w:t>. godine</w:t>
            </w:r>
          </w:p>
        </w:tc>
        <w:tc>
          <w:tcPr>
            <w:tcW w:w="1540" w:type="dxa"/>
            <w:tcBorders>
              <w:top w:val="single" w:sz="4" w:space="0" w:color="000000"/>
              <w:left w:val="nil"/>
              <w:bottom w:val="single" w:sz="4" w:space="0" w:color="000000"/>
              <w:right w:val="single" w:sz="4" w:space="0" w:color="000080"/>
            </w:tcBorders>
            <w:shd w:val="clear" w:color="auto" w:fill="auto"/>
            <w:vAlign w:val="center"/>
            <w:hideMark/>
          </w:tcPr>
          <w:p w14:paraId="7CA8D82E" w14:textId="77777777" w:rsidR="007B3FD5" w:rsidRPr="007B3FD5" w:rsidRDefault="007B3FD5" w:rsidP="007B3FD5">
            <w:pPr>
              <w:jc w:val="center"/>
              <w:rPr>
                <w:rFonts w:ascii="Arial" w:hAnsi="Arial" w:cs="Arial"/>
                <w:b/>
                <w:bCs/>
                <w:color w:val="000000"/>
                <w:sz w:val="18"/>
                <w:szCs w:val="18"/>
              </w:rPr>
            </w:pPr>
            <w:r w:rsidRPr="007B3FD5">
              <w:rPr>
                <w:rFonts w:ascii="Arial" w:hAnsi="Arial" w:cs="Arial"/>
                <w:b/>
                <w:bCs/>
                <w:color w:val="000000"/>
                <w:sz w:val="18"/>
                <w:szCs w:val="18"/>
              </w:rPr>
              <w:t xml:space="preserve">Ostvareno u izvještajnom razdoblju </w:t>
            </w:r>
            <w:r w:rsidRPr="007B3FD5">
              <w:rPr>
                <w:rFonts w:ascii="Arial" w:hAnsi="Arial" w:cs="Arial"/>
                <w:b/>
                <w:bCs/>
                <w:color w:val="000000"/>
                <w:sz w:val="18"/>
                <w:szCs w:val="18"/>
              </w:rPr>
              <w:br/>
              <w:t>tekuće godine</w:t>
            </w:r>
          </w:p>
        </w:tc>
        <w:tc>
          <w:tcPr>
            <w:tcW w:w="2117" w:type="dxa"/>
            <w:tcBorders>
              <w:top w:val="single" w:sz="4" w:space="0" w:color="000000"/>
              <w:left w:val="nil"/>
              <w:bottom w:val="single" w:sz="4" w:space="0" w:color="000000"/>
              <w:right w:val="single" w:sz="4" w:space="0" w:color="000000"/>
            </w:tcBorders>
            <w:shd w:val="clear" w:color="auto" w:fill="auto"/>
            <w:vAlign w:val="center"/>
            <w:hideMark/>
          </w:tcPr>
          <w:p w14:paraId="747A509F" w14:textId="77777777" w:rsidR="007B3FD5" w:rsidRPr="007B3FD5" w:rsidRDefault="007B3FD5" w:rsidP="007B3FD5">
            <w:pPr>
              <w:jc w:val="center"/>
              <w:rPr>
                <w:rFonts w:ascii="Arial" w:hAnsi="Arial" w:cs="Arial"/>
                <w:b/>
                <w:bCs/>
                <w:color w:val="000000"/>
                <w:sz w:val="18"/>
                <w:szCs w:val="18"/>
              </w:rPr>
            </w:pPr>
            <w:r w:rsidRPr="007B3FD5">
              <w:rPr>
                <w:rFonts w:ascii="Arial" w:hAnsi="Arial" w:cs="Arial"/>
                <w:b/>
                <w:bCs/>
                <w:color w:val="000000"/>
                <w:sz w:val="18"/>
                <w:szCs w:val="18"/>
              </w:rPr>
              <w:t>Indeks</w:t>
            </w:r>
            <w:r w:rsidRPr="007B3FD5">
              <w:rPr>
                <w:rFonts w:ascii="Arial" w:hAnsi="Arial" w:cs="Arial"/>
                <w:b/>
                <w:bCs/>
                <w:color w:val="000000"/>
                <w:sz w:val="18"/>
                <w:szCs w:val="18"/>
              </w:rPr>
              <w:br/>
              <w:t>(5/4)</w:t>
            </w:r>
          </w:p>
        </w:tc>
      </w:tr>
      <w:tr w:rsidR="007B3FD5" w:rsidRPr="007B3FD5" w14:paraId="3B5FD9D3" w14:textId="77777777" w:rsidTr="00145A75">
        <w:trPr>
          <w:trHeight w:val="240"/>
        </w:trPr>
        <w:tc>
          <w:tcPr>
            <w:tcW w:w="1400" w:type="dxa"/>
            <w:tcBorders>
              <w:top w:val="nil"/>
              <w:left w:val="single" w:sz="4" w:space="0" w:color="000000"/>
              <w:bottom w:val="nil"/>
              <w:right w:val="single" w:sz="4" w:space="0" w:color="000080"/>
            </w:tcBorders>
            <w:shd w:val="clear" w:color="000000" w:fill="FFFFCC"/>
            <w:vAlign w:val="center"/>
            <w:hideMark/>
          </w:tcPr>
          <w:p w14:paraId="5FFD4C7A" w14:textId="77777777" w:rsidR="007B3FD5" w:rsidRPr="007B3FD5" w:rsidRDefault="007B3FD5" w:rsidP="007B3FD5">
            <w:pPr>
              <w:jc w:val="center"/>
              <w:rPr>
                <w:rFonts w:ascii="Arial" w:hAnsi="Arial" w:cs="Arial"/>
                <w:b/>
                <w:bCs/>
                <w:color w:val="000080"/>
                <w:sz w:val="18"/>
                <w:szCs w:val="18"/>
              </w:rPr>
            </w:pPr>
            <w:r w:rsidRPr="007B3FD5">
              <w:rPr>
                <w:rFonts w:ascii="Arial" w:hAnsi="Arial" w:cs="Arial"/>
                <w:b/>
                <w:bCs/>
                <w:color w:val="000080"/>
                <w:sz w:val="18"/>
                <w:szCs w:val="18"/>
              </w:rPr>
              <w:t>1</w:t>
            </w:r>
          </w:p>
        </w:tc>
        <w:tc>
          <w:tcPr>
            <w:tcW w:w="6380" w:type="dxa"/>
            <w:tcBorders>
              <w:top w:val="nil"/>
              <w:left w:val="nil"/>
              <w:bottom w:val="nil"/>
              <w:right w:val="single" w:sz="4" w:space="0" w:color="000080"/>
            </w:tcBorders>
            <w:shd w:val="clear" w:color="000000" w:fill="FFFFCC"/>
            <w:vAlign w:val="center"/>
            <w:hideMark/>
          </w:tcPr>
          <w:p w14:paraId="136BC4AE" w14:textId="77777777" w:rsidR="007B3FD5" w:rsidRPr="007B3FD5" w:rsidRDefault="007B3FD5" w:rsidP="007B3FD5">
            <w:pPr>
              <w:jc w:val="center"/>
              <w:rPr>
                <w:rFonts w:ascii="Arial" w:hAnsi="Arial" w:cs="Arial"/>
                <w:b/>
                <w:bCs/>
                <w:color w:val="000080"/>
                <w:sz w:val="18"/>
                <w:szCs w:val="18"/>
              </w:rPr>
            </w:pPr>
            <w:r w:rsidRPr="007B3FD5">
              <w:rPr>
                <w:rFonts w:ascii="Arial" w:hAnsi="Arial" w:cs="Arial"/>
                <w:b/>
                <w:bCs/>
                <w:color w:val="000080"/>
                <w:sz w:val="18"/>
                <w:szCs w:val="18"/>
              </w:rPr>
              <w:t>2</w:t>
            </w:r>
          </w:p>
        </w:tc>
        <w:tc>
          <w:tcPr>
            <w:tcW w:w="1340" w:type="dxa"/>
            <w:tcBorders>
              <w:top w:val="single" w:sz="4" w:space="0" w:color="000000"/>
              <w:left w:val="nil"/>
              <w:bottom w:val="nil"/>
              <w:right w:val="single" w:sz="4" w:space="0" w:color="000080"/>
            </w:tcBorders>
            <w:shd w:val="clear" w:color="000000" w:fill="FFFFCC"/>
            <w:noWrap/>
            <w:vAlign w:val="center"/>
            <w:hideMark/>
          </w:tcPr>
          <w:p w14:paraId="28651151" w14:textId="77777777" w:rsidR="007B3FD5" w:rsidRPr="007B3FD5" w:rsidRDefault="007B3FD5" w:rsidP="007B3FD5">
            <w:pPr>
              <w:jc w:val="center"/>
              <w:rPr>
                <w:rFonts w:ascii="Arial" w:hAnsi="Arial" w:cs="Arial"/>
                <w:b/>
                <w:bCs/>
                <w:color w:val="000080"/>
                <w:sz w:val="18"/>
                <w:szCs w:val="18"/>
              </w:rPr>
            </w:pPr>
            <w:r w:rsidRPr="007B3FD5">
              <w:rPr>
                <w:rFonts w:ascii="Arial" w:hAnsi="Arial" w:cs="Arial"/>
                <w:b/>
                <w:bCs/>
                <w:color w:val="000080"/>
                <w:sz w:val="18"/>
                <w:szCs w:val="18"/>
              </w:rPr>
              <w:t>3</w:t>
            </w:r>
          </w:p>
        </w:tc>
        <w:tc>
          <w:tcPr>
            <w:tcW w:w="1540" w:type="dxa"/>
            <w:tcBorders>
              <w:top w:val="nil"/>
              <w:left w:val="nil"/>
              <w:bottom w:val="nil"/>
              <w:right w:val="single" w:sz="4" w:space="0" w:color="000080"/>
            </w:tcBorders>
            <w:shd w:val="clear" w:color="000000" w:fill="FFFFCC"/>
            <w:noWrap/>
            <w:vAlign w:val="center"/>
            <w:hideMark/>
          </w:tcPr>
          <w:p w14:paraId="48561C8E" w14:textId="77777777" w:rsidR="007B3FD5" w:rsidRPr="007B3FD5" w:rsidRDefault="007B3FD5" w:rsidP="007B3FD5">
            <w:pPr>
              <w:jc w:val="center"/>
              <w:rPr>
                <w:rFonts w:ascii="Arial" w:hAnsi="Arial" w:cs="Arial"/>
                <w:b/>
                <w:bCs/>
                <w:color w:val="000080"/>
                <w:sz w:val="18"/>
                <w:szCs w:val="18"/>
              </w:rPr>
            </w:pPr>
            <w:r w:rsidRPr="007B3FD5">
              <w:rPr>
                <w:rFonts w:ascii="Arial" w:hAnsi="Arial" w:cs="Arial"/>
                <w:b/>
                <w:bCs/>
                <w:color w:val="000080"/>
                <w:sz w:val="18"/>
                <w:szCs w:val="18"/>
              </w:rPr>
              <w:t>4</w:t>
            </w:r>
          </w:p>
        </w:tc>
        <w:tc>
          <w:tcPr>
            <w:tcW w:w="1540" w:type="dxa"/>
            <w:tcBorders>
              <w:top w:val="nil"/>
              <w:left w:val="nil"/>
              <w:bottom w:val="nil"/>
              <w:right w:val="single" w:sz="4" w:space="0" w:color="000080"/>
            </w:tcBorders>
            <w:shd w:val="clear" w:color="000000" w:fill="FFFFCC"/>
            <w:vAlign w:val="center"/>
            <w:hideMark/>
          </w:tcPr>
          <w:p w14:paraId="2A923C0B" w14:textId="77777777" w:rsidR="007B3FD5" w:rsidRPr="007B3FD5" w:rsidRDefault="007B3FD5" w:rsidP="007B3FD5">
            <w:pPr>
              <w:jc w:val="center"/>
              <w:rPr>
                <w:rFonts w:ascii="Arial" w:hAnsi="Arial" w:cs="Arial"/>
                <w:b/>
                <w:bCs/>
                <w:color w:val="000080"/>
                <w:sz w:val="18"/>
                <w:szCs w:val="18"/>
              </w:rPr>
            </w:pPr>
            <w:r w:rsidRPr="007B3FD5">
              <w:rPr>
                <w:rFonts w:ascii="Arial" w:hAnsi="Arial" w:cs="Arial"/>
                <w:b/>
                <w:bCs/>
                <w:color w:val="000080"/>
                <w:sz w:val="18"/>
                <w:szCs w:val="18"/>
              </w:rPr>
              <w:t>5</w:t>
            </w:r>
          </w:p>
        </w:tc>
        <w:tc>
          <w:tcPr>
            <w:tcW w:w="2117" w:type="dxa"/>
            <w:tcBorders>
              <w:top w:val="nil"/>
              <w:left w:val="nil"/>
              <w:bottom w:val="nil"/>
              <w:right w:val="single" w:sz="4" w:space="0" w:color="000000"/>
            </w:tcBorders>
            <w:shd w:val="clear" w:color="000000" w:fill="FFFFCC"/>
            <w:vAlign w:val="center"/>
            <w:hideMark/>
          </w:tcPr>
          <w:p w14:paraId="47163E46" w14:textId="77777777" w:rsidR="007B3FD5" w:rsidRPr="007B3FD5" w:rsidRDefault="007B3FD5" w:rsidP="007B3FD5">
            <w:pPr>
              <w:jc w:val="center"/>
              <w:rPr>
                <w:rFonts w:ascii="Arial" w:hAnsi="Arial" w:cs="Arial"/>
                <w:b/>
                <w:bCs/>
                <w:color w:val="000080"/>
                <w:sz w:val="18"/>
                <w:szCs w:val="18"/>
              </w:rPr>
            </w:pPr>
            <w:r w:rsidRPr="007B3FD5">
              <w:rPr>
                <w:rFonts w:ascii="Arial" w:hAnsi="Arial" w:cs="Arial"/>
                <w:b/>
                <w:bCs/>
                <w:color w:val="000080"/>
                <w:sz w:val="18"/>
                <w:szCs w:val="18"/>
              </w:rPr>
              <w:t>6</w:t>
            </w:r>
          </w:p>
        </w:tc>
      </w:tr>
      <w:tr w:rsidR="007B3FD5" w:rsidRPr="007B3FD5" w14:paraId="0F450DC8" w14:textId="77777777" w:rsidTr="00145A75">
        <w:trPr>
          <w:trHeight w:val="255"/>
        </w:trPr>
        <w:tc>
          <w:tcPr>
            <w:tcW w:w="1400" w:type="dxa"/>
            <w:tcBorders>
              <w:top w:val="nil"/>
              <w:left w:val="single" w:sz="4" w:space="0" w:color="000000"/>
              <w:bottom w:val="single" w:sz="4" w:space="0" w:color="C0C0C0"/>
              <w:right w:val="single" w:sz="4" w:space="0" w:color="000080"/>
            </w:tcBorders>
            <w:shd w:val="clear" w:color="auto" w:fill="auto"/>
            <w:vAlign w:val="center"/>
            <w:hideMark/>
          </w:tcPr>
          <w:p w14:paraId="31F98786" w14:textId="77777777" w:rsidR="007B3FD5" w:rsidRPr="007B3FD5" w:rsidRDefault="007B3FD5" w:rsidP="007B3FD5">
            <w:pPr>
              <w:rPr>
                <w:rFonts w:ascii="Arial" w:hAnsi="Arial" w:cs="Arial"/>
                <w:color w:val="000000"/>
                <w:sz w:val="18"/>
                <w:szCs w:val="18"/>
              </w:rPr>
            </w:pPr>
            <w:r w:rsidRPr="007B3FD5">
              <w:rPr>
                <w:rFonts w:ascii="Arial" w:hAnsi="Arial" w:cs="Arial"/>
                <w:color w:val="000000"/>
                <w:sz w:val="18"/>
                <w:szCs w:val="18"/>
              </w:rPr>
              <w:t>04</w:t>
            </w:r>
          </w:p>
        </w:tc>
        <w:tc>
          <w:tcPr>
            <w:tcW w:w="6380" w:type="dxa"/>
            <w:tcBorders>
              <w:top w:val="nil"/>
              <w:left w:val="nil"/>
              <w:bottom w:val="single" w:sz="4" w:space="0" w:color="C0C0C0"/>
              <w:right w:val="single" w:sz="4" w:space="0" w:color="000080"/>
            </w:tcBorders>
            <w:shd w:val="clear" w:color="auto" w:fill="auto"/>
            <w:vAlign w:val="center"/>
            <w:hideMark/>
          </w:tcPr>
          <w:p w14:paraId="4CD0DCF8" w14:textId="77777777" w:rsidR="007B3FD5" w:rsidRPr="007B3FD5" w:rsidRDefault="007B3FD5" w:rsidP="007B3FD5">
            <w:pPr>
              <w:rPr>
                <w:rFonts w:ascii="Arial" w:hAnsi="Arial" w:cs="Arial"/>
                <w:color w:val="000000"/>
                <w:sz w:val="18"/>
                <w:szCs w:val="18"/>
              </w:rPr>
            </w:pPr>
            <w:r w:rsidRPr="007B3FD5">
              <w:rPr>
                <w:rFonts w:ascii="Arial" w:hAnsi="Arial" w:cs="Arial"/>
                <w:color w:val="000000"/>
                <w:sz w:val="18"/>
                <w:szCs w:val="18"/>
              </w:rPr>
              <w:t>Ekonomski poslovi (šifre 041+042+043+044+045+046+047+048+049)</w:t>
            </w:r>
          </w:p>
        </w:tc>
        <w:tc>
          <w:tcPr>
            <w:tcW w:w="1340" w:type="dxa"/>
            <w:tcBorders>
              <w:top w:val="nil"/>
              <w:left w:val="nil"/>
              <w:bottom w:val="single" w:sz="4" w:space="0" w:color="C0C0C0"/>
              <w:right w:val="single" w:sz="4" w:space="0" w:color="000080"/>
            </w:tcBorders>
            <w:shd w:val="clear" w:color="auto" w:fill="auto"/>
            <w:vAlign w:val="center"/>
            <w:hideMark/>
          </w:tcPr>
          <w:p w14:paraId="03BA0644" w14:textId="77777777" w:rsidR="007B3FD5" w:rsidRPr="007B3FD5" w:rsidRDefault="007B3FD5" w:rsidP="007B3FD5">
            <w:pPr>
              <w:rPr>
                <w:rFonts w:ascii="Arial" w:hAnsi="Arial" w:cs="Arial"/>
                <w:b/>
                <w:bCs/>
                <w:color w:val="0C0C0C"/>
                <w:sz w:val="18"/>
                <w:szCs w:val="18"/>
              </w:rPr>
            </w:pPr>
            <w:r w:rsidRPr="007B3FD5">
              <w:rPr>
                <w:rFonts w:ascii="Arial" w:hAnsi="Arial" w:cs="Arial"/>
                <w:b/>
                <w:bCs/>
                <w:color w:val="0C0C0C"/>
                <w:sz w:val="18"/>
                <w:szCs w:val="18"/>
              </w:rPr>
              <w:t>04</w:t>
            </w:r>
          </w:p>
        </w:tc>
        <w:tc>
          <w:tcPr>
            <w:tcW w:w="1540" w:type="dxa"/>
            <w:tcBorders>
              <w:top w:val="nil"/>
              <w:left w:val="nil"/>
              <w:bottom w:val="single" w:sz="4" w:space="0" w:color="C0C0C0"/>
              <w:right w:val="single" w:sz="4" w:space="0" w:color="000080"/>
            </w:tcBorders>
            <w:shd w:val="clear" w:color="auto" w:fill="auto"/>
            <w:noWrap/>
            <w:vAlign w:val="center"/>
            <w:hideMark/>
          </w:tcPr>
          <w:p w14:paraId="128F0EF6" w14:textId="77777777" w:rsidR="007B3FD5" w:rsidRPr="007B3FD5" w:rsidRDefault="007B3FD5" w:rsidP="007B3FD5">
            <w:pPr>
              <w:jc w:val="right"/>
              <w:rPr>
                <w:rFonts w:ascii="Arial" w:hAnsi="Arial" w:cs="Arial"/>
                <w:b/>
                <w:bCs/>
                <w:color w:val="000080"/>
                <w:sz w:val="16"/>
                <w:szCs w:val="16"/>
              </w:rPr>
            </w:pPr>
            <w:r w:rsidRPr="007B3FD5">
              <w:rPr>
                <w:rFonts w:ascii="Arial" w:hAnsi="Arial" w:cs="Arial"/>
                <w:b/>
                <w:bCs/>
                <w:color w:val="000080"/>
                <w:sz w:val="16"/>
                <w:szCs w:val="16"/>
              </w:rPr>
              <w:t>1.226.866.754,32</w:t>
            </w:r>
          </w:p>
        </w:tc>
        <w:tc>
          <w:tcPr>
            <w:tcW w:w="1540" w:type="dxa"/>
            <w:tcBorders>
              <w:top w:val="nil"/>
              <w:left w:val="nil"/>
              <w:bottom w:val="single" w:sz="4" w:space="0" w:color="C0C0C0"/>
              <w:right w:val="single" w:sz="4" w:space="0" w:color="000080"/>
            </w:tcBorders>
            <w:shd w:val="clear" w:color="auto" w:fill="auto"/>
            <w:noWrap/>
            <w:vAlign w:val="center"/>
            <w:hideMark/>
          </w:tcPr>
          <w:p w14:paraId="153DA5F2" w14:textId="77777777" w:rsidR="007B3FD5" w:rsidRPr="007B3FD5" w:rsidRDefault="007B3FD5" w:rsidP="007B3FD5">
            <w:pPr>
              <w:jc w:val="right"/>
              <w:rPr>
                <w:rFonts w:ascii="Arial" w:hAnsi="Arial" w:cs="Arial"/>
                <w:b/>
                <w:bCs/>
                <w:color w:val="000080"/>
                <w:sz w:val="16"/>
                <w:szCs w:val="16"/>
              </w:rPr>
            </w:pPr>
            <w:r w:rsidRPr="007B3FD5">
              <w:rPr>
                <w:rFonts w:ascii="Arial" w:hAnsi="Arial" w:cs="Arial"/>
                <w:b/>
                <w:bCs/>
                <w:color w:val="000080"/>
                <w:sz w:val="16"/>
                <w:szCs w:val="16"/>
              </w:rPr>
              <w:t>1.387.008.271,71</w:t>
            </w:r>
          </w:p>
        </w:tc>
        <w:tc>
          <w:tcPr>
            <w:tcW w:w="2117" w:type="dxa"/>
            <w:tcBorders>
              <w:top w:val="nil"/>
              <w:left w:val="nil"/>
              <w:bottom w:val="single" w:sz="4" w:space="0" w:color="C0C0C0"/>
              <w:right w:val="single" w:sz="4" w:space="0" w:color="000000"/>
            </w:tcBorders>
            <w:shd w:val="clear" w:color="auto" w:fill="auto"/>
            <w:noWrap/>
            <w:vAlign w:val="center"/>
            <w:hideMark/>
          </w:tcPr>
          <w:p w14:paraId="7913FFB0" w14:textId="77777777" w:rsidR="007B3FD5" w:rsidRPr="007B3FD5" w:rsidRDefault="007B3FD5" w:rsidP="007B3FD5">
            <w:pPr>
              <w:jc w:val="right"/>
              <w:rPr>
                <w:rFonts w:ascii="Arial" w:hAnsi="Arial" w:cs="Arial"/>
                <w:color w:val="000000"/>
                <w:sz w:val="16"/>
                <w:szCs w:val="16"/>
              </w:rPr>
            </w:pPr>
            <w:r w:rsidRPr="007B3FD5">
              <w:rPr>
                <w:rFonts w:ascii="Arial" w:hAnsi="Arial" w:cs="Arial"/>
                <w:color w:val="000000"/>
                <w:sz w:val="16"/>
                <w:szCs w:val="16"/>
              </w:rPr>
              <w:t>113,1</w:t>
            </w:r>
          </w:p>
        </w:tc>
      </w:tr>
      <w:tr w:rsidR="007B3FD5" w:rsidRPr="007B3FD5" w14:paraId="17959B66" w14:textId="77777777" w:rsidTr="00145A75">
        <w:trPr>
          <w:trHeight w:val="255"/>
        </w:trPr>
        <w:tc>
          <w:tcPr>
            <w:tcW w:w="1400" w:type="dxa"/>
            <w:tcBorders>
              <w:top w:val="nil"/>
              <w:left w:val="single" w:sz="4" w:space="0" w:color="000000"/>
              <w:bottom w:val="single" w:sz="4" w:space="0" w:color="C0C0C0"/>
              <w:right w:val="single" w:sz="4" w:space="0" w:color="000080"/>
            </w:tcBorders>
            <w:shd w:val="clear" w:color="auto" w:fill="auto"/>
            <w:vAlign w:val="center"/>
            <w:hideMark/>
          </w:tcPr>
          <w:p w14:paraId="09AB4244" w14:textId="77777777" w:rsidR="007B3FD5" w:rsidRPr="007B3FD5" w:rsidRDefault="007B3FD5" w:rsidP="007B3FD5">
            <w:pPr>
              <w:rPr>
                <w:rFonts w:ascii="Arial" w:hAnsi="Arial" w:cs="Arial"/>
                <w:color w:val="000000"/>
                <w:sz w:val="18"/>
                <w:szCs w:val="18"/>
              </w:rPr>
            </w:pPr>
            <w:r w:rsidRPr="007B3FD5">
              <w:rPr>
                <w:rFonts w:ascii="Arial" w:hAnsi="Arial" w:cs="Arial"/>
                <w:color w:val="000000"/>
                <w:sz w:val="18"/>
                <w:szCs w:val="18"/>
              </w:rPr>
              <w:t>045</w:t>
            </w:r>
          </w:p>
        </w:tc>
        <w:tc>
          <w:tcPr>
            <w:tcW w:w="6380" w:type="dxa"/>
            <w:tcBorders>
              <w:top w:val="nil"/>
              <w:left w:val="nil"/>
              <w:bottom w:val="single" w:sz="4" w:space="0" w:color="C0C0C0"/>
              <w:right w:val="single" w:sz="4" w:space="0" w:color="000080"/>
            </w:tcBorders>
            <w:shd w:val="clear" w:color="auto" w:fill="auto"/>
            <w:vAlign w:val="center"/>
            <w:hideMark/>
          </w:tcPr>
          <w:p w14:paraId="0A19F32A" w14:textId="77777777" w:rsidR="007B3FD5" w:rsidRPr="007B3FD5" w:rsidRDefault="007B3FD5" w:rsidP="007B3FD5">
            <w:pPr>
              <w:rPr>
                <w:rFonts w:ascii="Arial" w:hAnsi="Arial" w:cs="Arial"/>
                <w:color w:val="000000"/>
                <w:sz w:val="18"/>
                <w:szCs w:val="18"/>
              </w:rPr>
            </w:pPr>
            <w:r w:rsidRPr="007B3FD5">
              <w:rPr>
                <w:rFonts w:ascii="Arial" w:hAnsi="Arial" w:cs="Arial"/>
                <w:color w:val="000000"/>
                <w:sz w:val="18"/>
                <w:szCs w:val="18"/>
              </w:rPr>
              <w:t>Promet (šifre 0451 do 0455)</w:t>
            </w:r>
          </w:p>
        </w:tc>
        <w:tc>
          <w:tcPr>
            <w:tcW w:w="1340" w:type="dxa"/>
            <w:tcBorders>
              <w:top w:val="nil"/>
              <w:left w:val="nil"/>
              <w:bottom w:val="single" w:sz="4" w:space="0" w:color="C0C0C0"/>
              <w:right w:val="single" w:sz="4" w:space="0" w:color="000080"/>
            </w:tcBorders>
            <w:shd w:val="clear" w:color="auto" w:fill="auto"/>
            <w:vAlign w:val="center"/>
            <w:hideMark/>
          </w:tcPr>
          <w:p w14:paraId="2092382C" w14:textId="77777777" w:rsidR="007B3FD5" w:rsidRPr="007B3FD5" w:rsidRDefault="007B3FD5" w:rsidP="007B3FD5">
            <w:pPr>
              <w:rPr>
                <w:rFonts w:ascii="Arial" w:hAnsi="Arial" w:cs="Arial"/>
                <w:b/>
                <w:bCs/>
                <w:color w:val="0C0C0C"/>
                <w:sz w:val="18"/>
                <w:szCs w:val="18"/>
              </w:rPr>
            </w:pPr>
            <w:r w:rsidRPr="007B3FD5">
              <w:rPr>
                <w:rFonts w:ascii="Arial" w:hAnsi="Arial" w:cs="Arial"/>
                <w:b/>
                <w:bCs/>
                <w:color w:val="0C0C0C"/>
                <w:sz w:val="18"/>
                <w:szCs w:val="18"/>
              </w:rPr>
              <w:t>045</w:t>
            </w:r>
          </w:p>
        </w:tc>
        <w:tc>
          <w:tcPr>
            <w:tcW w:w="1540" w:type="dxa"/>
            <w:tcBorders>
              <w:top w:val="nil"/>
              <w:left w:val="nil"/>
              <w:bottom w:val="single" w:sz="4" w:space="0" w:color="C0C0C0"/>
              <w:right w:val="single" w:sz="4" w:space="0" w:color="000080"/>
            </w:tcBorders>
            <w:shd w:val="clear" w:color="auto" w:fill="auto"/>
            <w:noWrap/>
            <w:vAlign w:val="center"/>
            <w:hideMark/>
          </w:tcPr>
          <w:p w14:paraId="2481C661" w14:textId="77777777" w:rsidR="007B3FD5" w:rsidRPr="007B3FD5" w:rsidRDefault="007B3FD5" w:rsidP="007B3FD5">
            <w:pPr>
              <w:jc w:val="right"/>
              <w:rPr>
                <w:rFonts w:ascii="Arial" w:hAnsi="Arial" w:cs="Arial"/>
                <w:b/>
                <w:bCs/>
                <w:color w:val="000080"/>
                <w:sz w:val="16"/>
                <w:szCs w:val="16"/>
              </w:rPr>
            </w:pPr>
            <w:r w:rsidRPr="007B3FD5">
              <w:rPr>
                <w:rFonts w:ascii="Arial" w:hAnsi="Arial" w:cs="Arial"/>
                <w:b/>
                <w:bCs/>
                <w:color w:val="000080"/>
                <w:sz w:val="16"/>
                <w:szCs w:val="16"/>
              </w:rPr>
              <w:t>1.152.334.777,22</w:t>
            </w:r>
          </w:p>
        </w:tc>
        <w:tc>
          <w:tcPr>
            <w:tcW w:w="1540" w:type="dxa"/>
            <w:tcBorders>
              <w:top w:val="nil"/>
              <w:left w:val="nil"/>
              <w:bottom w:val="single" w:sz="4" w:space="0" w:color="C0C0C0"/>
              <w:right w:val="single" w:sz="4" w:space="0" w:color="000080"/>
            </w:tcBorders>
            <w:shd w:val="clear" w:color="auto" w:fill="auto"/>
            <w:noWrap/>
            <w:vAlign w:val="center"/>
            <w:hideMark/>
          </w:tcPr>
          <w:p w14:paraId="21A43B46" w14:textId="77777777" w:rsidR="007B3FD5" w:rsidRPr="007B3FD5" w:rsidRDefault="007B3FD5" w:rsidP="007B3FD5">
            <w:pPr>
              <w:jc w:val="right"/>
              <w:rPr>
                <w:rFonts w:ascii="Arial" w:hAnsi="Arial" w:cs="Arial"/>
                <w:b/>
                <w:bCs/>
                <w:color w:val="000080"/>
                <w:sz w:val="16"/>
                <w:szCs w:val="16"/>
              </w:rPr>
            </w:pPr>
            <w:r w:rsidRPr="007B3FD5">
              <w:rPr>
                <w:rFonts w:ascii="Arial" w:hAnsi="Arial" w:cs="Arial"/>
                <w:b/>
                <w:bCs/>
                <w:color w:val="000080"/>
                <w:sz w:val="16"/>
                <w:szCs w:val="16"/>
              </w:rPr>
              <w:t>1.343.465.195,02</w:t>
            </w:r>
          </w:p>
        </w:tc>
        <w:tc>
          <w:tcPr>
            <w:tcW w:w="2117" w:type="dxa"/>
            <w:tcBorders>
              <w:top w:val="nil"/>
              <w:left w:val="nil"/>
              <w:bottom w:val="single" w:sz="4" w:space="0" w:color="C0C0C0"/>
              <w:right w:val="single" w:sz="4" w:space="0" w:color="000000"/>
            </w:tcBorders>
            <w:shd w:val="clear" w:color="auto" w:fill="auto"/>
            <w:noWrap/>
            <w:vAlign w:val="center"/>
            <w:hideMark/>
          </w:tcPr>
          <w:p w14:paraId="3482C393" w14:textId="77777777" w:rsidR="007B3FD5" w:rsidRPr="007B3FD5" w:rsidRDefault="007B3FD5" w:rsidP="007B3FD5">
            <w:pPr>
              <w:jc w:val="right"/>
              <w:rPr>
                <w:rFonts w:ascii="Arial" w:hAnsi="Arial" w:cs="Arial"/>
                <w:color w:val="000000"/>
                <w:sz w:val="16"/>
                <w:szCs w:val="16"/>
              </w:rPr>
            </w:pPr>
            <w:r w:rsidRPr="007B3FD5">
              <w:rPr>
                <w:rFonts w:ascii="Arial" w:hAnsi="Arial" w:cs="Arial"/>
                <w:color w:val="000000"/>
                <w:sz w:val="16"/>
                <w:szCs w:val="16"/>
              </w:rPr>
              <w:t>116,6</w:t>
            </w:r>
          </w:p>
        </w:tc>
      </w:tr>
      <w:tr w:rsidR="007B3FD5" w:rsidRPr="007B3FD5" w14:paraId="27805D19" w14:textId="77777777" w:rsidTr="00145A75">
        <w:trPr>
          <w:trHeight w:val="255"/>
        </w:trPr>
        <w:tc>
          <w:tcPr>
            <w:tcW w:w="1400" w:type="dxa"/>
            <w:tcBorders>
              <w:top w:val="nil"/>
              <w:left w:val="single" w:sz="4" w:space="0" w:color="000000"/>
              <w:bottom w:val="single" w:sz="4" w:space="0" w:color="C0C0C0"/>
              <w:right w:val="single" w:sz="4" w:space="0" w:color="000080"/>
            </w:tcBorders>
            <w:shd w:val="clear" w:color="auto" w:fill="auto"/>
            <w:vAlign w:val="center"/>
            <w:hideMark/>
          </w:tcPr>
          <w:p w14:paraId="617745FC" w14:textId="77777777" w:rsidR="007B3FD5" w:rsidRPr="007B3FD5" w:rsidRDefault="007B3FD5" w:rsidP="007B3FD5">
            <w:pPr>
              <w:rPr>
                <w:rFonts w:ascii="Arial" w:hAnsi="Arial" w:cs="Arial"/>
                <w:color w:val="000000"/>
                <w:sz w:val="18"/>
                <w:szCs w:val="18"/>
              </w:rPr>
            </w:pPr>
            <w:r w:rsidRPr="007B3FD5">
              <w:rPr>
                <w:rFonts w:ascii="Arial" w:hAnsi="Arial" w:cs="Arial"/>
                <w:color w:val="000000"/>
                <w:sz w:val="18"/>
                <w:szCs w:val="18"/>
              </w:rPr>
              <w:t>0451</w:t>
            </w:r>
          </w:p>
        </w:tc>
        <w:tc>
          <w:tcPr>
            <w:tcW w:w="6380" w:type="dxa"/>
            <w:tcBorders>
              <w:top w:val="nil"/>
              <w:left w:val="nil"/>
              <w:bottom w:val="single" w:sz="4" w:space="0" w:color="C0C0C0"/>
              <w:right w:val="single" w:sz="4" w:space="0" w:color="000080"/>
            </w:tcBorders>
            <w:shd w:val="clear" w:color="auto" w:fill="auto"/>
            <w:vAlign w:val="center"/>
            <w:hideMark/>
          </w:tcPr>
          <w:p w14:paraId="37C4BBA6" w14:textId="77777777" w:rsidR="007B3FD5" w:rsidRPr="007B3FD5" w:rsidRDefault="007B3FD5" w:rsidP="007B3FD5">
            <w:pPr>
              <w:rPr>
                <w:rFonts w:ascii="Arial" w:hAnsi="Arial" w:cs="Arial"/>
                <w:color w:val="000000"/>
                <w:sz w:val="18"/>
                <w:szCs w:val="18"/>
              </w:rPr>
            </w:pPr>
            <w:r w:rsidRPr="007B3FD5">
              <w:rPr>
                <w:rFonts w:ascii="Arial" w:hAnsi="Arial" w:cs="Arial"/>
                <w:color w:val="000000"/>
                <w:sz w:val="18"/>
                <w:szCs w:val="18"/>
              </w:rPr>
              <w:t>Cestovni promet</w:t>
            </w:r>
          </w:p>
        </w:tc>
        <w:tc>
          <w:tcPr>
            <w:tcW w:w="1340" w:type="dxa"/>
            <w:tcBorders>
              <w:top w:val="nil"/>
              <w:left w:val="nil"/>
              <w:bottom w:val="single" w:sz="4" w:space="0" w:color="C0C0C0"/>
              <w:right w:val="single" w:sz="4" w:space="0" w:color="000080"/>
            </w:tcBorders>
            <w:shd w:val="clear" w:color="auto" w:fill="auto"/>
            <w:vAlign w:val="center"/>
            <w:hideMark/>
          </w:tcPr>
          <w:p w14:paraId="115FA6C0" w14:textId="77777777" w:rsidR="007B3FD5" w:rsidRPr="007B3FD5" w:rsidRDefault="007B3FD5" w:rsidP="007B3FD5">
            <w:pPr>
              <w:rPr>
                <w:rFonts w:ascii="Arial" w:hAnsi="Arial" w:cs="Arial"/>
                <w:b/>
                <w:bCs/>
                <w:color w:val="0C0C0C"/>
                <w:sz w:val="18"/>
                <w:szCs w:val="18"/>
              </w:rPr>
            </w:pPr>
            <w:r w:rsidRPr="007B3FD5">
              <w:rPr>
                <w:rFonts w:ascii="Arial" w:hAnsi="Arial" w:cs="Arial"/>
                <w:b/>
                <w:bCs/>
                <w:color w:val="0C0C0C"/>
                <w:sz w:val="18"/>
                <w:szCs w:val="18"/>
              </w:rPr>
              <w:t>0451</w:t>
            </w:r>
          </w:p>
        </w:tc>
        <w:tc>
          <w:tcPr>
            <w:tcW w:w="1540" w:type="dxa"/>
            <w:tcBorders>
              <w:top w:val="nil"/>
              <w:left w:val="nil"/>
              <w:bottom w:val="single" w:sz="4" w:space="0" w:color="C0C0C0"/>
              <w:right w:val="single" w:sz="4" w:space="0" w:color="000080"/>
            </w:tcBorders>
            <w:shd w:val="clear" w:color="auto" w:fill="auto"/>
            <w:noWrap/>
            <w:vAlign w:val="center"/>
            <w:hideMark/>
          </w:tcPr>
          <w:p w14:paraId="1D8CC641" w14:textId="77777777" w:rsidR="007B3FD5" w:rsidRPr="007B3FD5" w:rsidRDefault="007B3FD5" w:rsidP="007B3FD5">
            <w:pPr>
              <w:jc w:val="right"/>
              <w:rPr>
                <w:rFonts w:ascii="Arial" w:hAnsi="Arial" w:cs="Arial"/>
                <w:color w:val="000000"/>
                <w:sz w:val="16"/>
                <w:szCs w:val="16"/>
              </w:rPr>
            </w:pPr>
            <w:r w:rsidRPr="007B3FD5">
              <w:rPr>
                <w:rFonts w:ascii="Arial" w:hAnsi="Arial" w:cs="Arial"/>
                <w:color w:val="000000"/>
                <w:sz w:val="16"/>
                <w:szCs w:val="16"/>
              </w:rPr>
              <w:t>545.757.213,48</w:t>
            </w:r>
          </w:p>
        </w:tc>
        <w:tc>
          <w:tcPr>
            <w:tcW w:w="1540" w:type="dxa"/>
            <w:tcBorders>
              <w:top w:val="nil"/>
              <w:left w:val="nil"/>
              <w:bottom w:val="single" w:sz="4" w:space="0" w:color="C0C0C0"/>
              <w:right w:val="single" w:sz="4" w:space="0" w:color="000080"/>
            </w:tcBorders>
            <w:shd w:val="clear" w:color="auto" w:fill="auto"/>
            <w:noWrap/>
            <w:vAlign w:val="center"/>
            <w:hideMark/>
          </w:tcPr>
          <w:p w14:paraId="3C9E6F6D" w14:textId="77777777" w:rsidR="007B3FD5" w:rsidRPr="007B3FD5" w:rsidRDefault="007B3FD5" w:rsidP="007B3FD5">
            <w:pPr>
              <w:jc w:val="right"/>
              <w:rPr>
                <w:rFonts w:ascii="Arial" w:hAnsi="Arial" w:cs="Arial"/>
                <w:color w:val="000000"/>
                <w:sz w:val="16"/>
                <w:szCs w:val="16"/>
              </w:rPr>
            </w:pPr>
            <w:r w:rsidRPr="007B3FD5">
              <w:rPr>
                <w:rFonts w:ascii="Arial" w:hAnsi="Arial" w:cs="Arial"/>
                <w:color w:val="000000"/>
                <w:sz w:val="16"/>
                <w:szCs w:val="16"/>
              </w:rPr>
              <w:t>504.998.935,08</w:t>
            </w:r>
          </w:p>
        </w:tc>
        <w:tc>
          <w:tcPr>
            <w:tcW w:w="2117" w:type="dxa"/>
            <w:tcBorders>
              <w:top w:val="nil"/>
              <w:left w:val="nil"/>
              <w:bottom w:val="single" w:sz="4" w:space="0" w:color="C0C0C0"/>
              <w:right w:val="single" w:sz="4" w:space="0" w:color="000000"/>
            </w:tcBorders>
            <w:shd w:val="clear" w:color="auto" w:fill="auto"/>
            <w:noWrap/>
            <w:vAlign w:val="center"/>
            <w:hideMark/>
          </w:tcPr>
          <w:p w14:paraId="25256AD6" w14:textId="77777777" w:rsidR="007B3FD5" w:rsidRPr="007B3FD5" w:rsidRDefault="007B3FD5" w:rsidP="007B3FD5">
            <w:pPr>
              <w:jc w:val="right"/>
              <w:rPr>
                <w:rFonts w:ascii="Arial" w:hAnsi="Arial" w:cs="Arial"/>
                <w:color w:val="000000"/>
                <w:sz w:val="16"/>
                <w:szCs w:val="16"/>
              </w:rPr>
            </w:pPr>
            <w:r w:rsidRPr="007B3FD5">
              <w:rPr>
                <w:rFonts w:ascii="Arial" w:hAnsi="Arial" w:cs="Arial"/>
                <w:color w:val="000000"/>
                <w:sz w:val="16"/>
                <w:szCs w:val="16"/>
              </w:rPr>
              <w:t>92,5</w:t>
            </w:r>
          </w:p>
        </w:tc>
      </w:tr>
      <w:tr w:rsidR="007B3FD5" w:rsidRPr="007B3FD5" w14:paraId="53D5B8CB" w14:textId="77777777" w:rsidTr="00145A75">
        <w:trPr>
          <w:trHeight w:val="255"/>
        </w:trPr>
        <w:tc>
          <w:tcPr>
            <w:tcW w:w="1400" w:type="dxa"/>
            <w:tcBorders>
              <w:top w:val="nil"/>
              <w:left w:val="single" w:sz="4" w:space="0" w:color="000000"/>
              <w:bottom w:val="single" w:sz="4" w:space="0" w:color="C0C0C0"/>
              <w:right w:val="single" w:sz="4" w:space="0" w:color="000080"/>
            </w:tcBorders>
            <w:shd w:val="clear" w:color="auto" w:fill="auto"/>
            <w:vAlign w:val="center"/>
            <w:hideMark/>
          </w:tcPr>
          <w:p w14:paraId="02805B42" w14:textId="77777777" w:rsidR="007B3FD5" w:rsidRPr="007B3FD5" w:rsidRDefault="007B3FD5" w:rsidP="007B3FD5">
            <w:pPr>
              <w:rPr>
                <w:rFonts w:ascii="Arial" w:hAnsi="Arial" w:cs="Arial"/>
                <w:color w:val="000000"/>
                <w:sz w:val="18"/>
                <w:szCs w:val="18"/>
              </w:rPr>
            </w:pPr>
            <w:r w:rsidRPr="007B3FD5">
              <w:rPr>
                <w:rFonts w:ascii="Arial" w:hAnsi="Arial" w:cs="Arial"/>
                <w:color w:val="000000"/>
                <w:sz w:val="18"/>
                <w:szCs w:val="18"/>
              </w:rPr>
              <w:t>0452</w:t>
            </w:r>
          </w:p>
        </w:tc>
        <w:tc>
          <w:tcPr>
            <w:tcW w:w="6380" w:type="dxa"/>
            <w:tcBorders>
              <w:top w:val="nil"/>
              <w:left w:val="nil"/>
              <w:bottom w:val="single" w:sz="4" w:space="0" w:color="C0C0C0"/>
              <w:right w:val="single" w:sz="4" w:space="0" w:color="000080"/>
            </w:tcBorders>
            <w:shd w:val="clear" w:color="auto" w:fill="auto"/>
            <w:vAlign w:val="center"/>
            <w:hideMark/>
          </w:tcPr>
          <w:p w14:paraId="113997EB" w14:textId="77777777" w:rsidR="007B3FD5" w:rsidRPr="007B3FD5" w:rsidRDefault="007B3FD5" w:rsidP="007B3FD5">
            <w:pPr>
              <w:rPr>
                <w:rFonts w:ascii="Arial" w:hAnsi="Arial" w:cs="Arial"/>
                <w:color w:val="000000"/>
                <w:sz w:val="18"/>
                <w:szCs w:val="18"/>
              </w:rPr>
            </w:pPr>
            <w:r w:rsidRPr="007B3FD5">
              <w:rPr>
                <w:rFonts w:ascii="Arial" w:hAnsi="Arial" w:cs="Arial"/>
                <w:color w:val="000000"/>
                <w:sz w:val="18"/>
                <w:szCs w:val="18"/>
              </w:rPr>
              <w:t>Promet vodnim putovima</w:t>
            </w:r>
          </w:p>
        </w:tc>
        <w:tc>
          <w:tcPr>
            <w:tcW w:w="1340" w:type="dxa"/>
            <w:tcBorders>
              <w:top w:val="nil"/>
              <w:left w:val="nil"/>
              <w:bottom w:val="single" w:sz="4" w:space="0" w:color="C0C0C0"/>
              <w:right w:val="single" w:sz="4" w:space="0" w:color="000080"/>
            </w:tcBorders>
            <w:shd w:val="clear" w:color="auto" w:fill="auto"/>
            <w:vAlign w:val="center"/>
            <w:hideMark/>
          </w:tcPr>
          <w:p w14:paraId="6985DAE7" w14:textId="77777777" w:rsidR="007B3FD5" w:rsidRPr="007B3FD5" w:rsidRDefault="007B3FD5" w:rsidP="007B3FD5">
            <w:pPr>
              <w:rPr>
                <w:rFonts w:ascii="Arial" w:hAnsi="Arial" w:cs="Arial"/>
                <w:b/>
                <w:bCs/>
                <w:color w:val="0C0C0C"/>
                <w:sz w:val="18"/>
                <w:szCs w:val="18"/>
              </w:rPr>
            </w:pPr>
            <w:r w:rsidRPr="007B3FD5">
              <w:rPr>
                <w:rFonts w:ascii="Arial" w:hAnsi="Arial" w:cs="Arial"/>
                <w:b/>
                <w:bCs/>
                <w:color w:val="0C0C0C"/>
                <w:sz w:val="18"/>
                <w:szCs w:val="18"/>
              </w:rPr>
              <w:t>0452</w:t>
            </w:r>
          </w:p>
        </w:tc>
        <w:tc>
          <w:tcPr>
            <w:tcW w:w="1540" w:type="dxa"/>
            <w:tcBorders>
              <w:top w:val="nil"/>
              <w:left w:val="nil"/>
              <w:bottom w:val="single" w:sz="4" w:space="0" w:color="C0C0C0"/>
              <w:right w:val="single" w:sz="4" w:space="0" w:color="000080"/>
            </w:tcBorders>
            <w:shd w:val="clear" w:color="auto" w:fill="auto"/>
            <w:noWrap/>
            <w:vAlign w:val="center"/>
            <w:hideMark/>
          </w:tcPr>
          <w:p w14:paraId="4F2BBA2A" w14:textId="77777777" w:rsidR="007B3FD5" w:rsidRPr="007B3FD5" w:rsidRDefault="007B3FD5" w:rsidP="007B3FD5">
            <w:pPr>
              <w:jc w:val="right"/>
              <w:rPr>
                <w:rFonts w:ascii="Arial" w:hAnsi="Arial" w:cs="Arial"/>
                <w:color w:val="000000"/>
                <w:sz w:val="16"/>
                <w:szCs w:val="16"/>
              </w:rPr>
            </w:pPr>
            <w:r w:rsidRPr="007B3FD5">
              <w:rPr>
                <w:rFonts w:ascii="Arial" w:hAnsi="Arial" w:cs="Arial"/>
                <w:color w:val="000000"/>
                <w:sz w:val="16"/>
                <w:szCs w:val="16"/>
              </w:rPr>
              <w:t>63.270.305,42</w:t>
            </w:r>
          </w:p>
        </w:tc>
        <w:tc>
          <w:tcPr>
            <w:tcW w:w="1540" w:type="dxa"/>
            <w:tcBorders>
              <w:top w:val="nil"/>
              <w:left w:val="nil"/>
              <w:bottom w:val="single" w:sz="4" w:space="0" w:color="C0C0C0"/>
              <w:right w:val="single" w:sz="4" w:space="0" w:color="000080"/>
            </w:tcBorders>
            <w:shd w:val="clear" w:color="auto" w:fill="auto"/>
            <w:noWrap/>
            <w:vAlign w:val="center"/>
            <w:hideMark/>
          </w:tcPr>
          <w:p w14:paraId="5B91CCD3" w14:textId="77777777" w:rsidR="007B3FD5" w:rsidRPr="007B3FD5" w:rsidRDefault="007B3FD5" w:rsidP="007B3FD5">
            <w:pPr>
              <w:jc w:val="right"/>
              <w:rPr>
                <w:rFonts w:ascii="Arial" w:hAnsi="Arial" w:cs="Arial"/>
                <w:color w:val="000000"/>
                <w:sz w:val="16"/>
                <w:szCs w:val="16"/>
              </w:rPr>
            </w:pPr>
            <w:r w:rsidRPr="007B3FD5">
              <w:rPr>
                <w:rFonts w:ascii="Arial" w:hAnsi="Arial" w:cs="Arial"/>
                <w:color w:val="000000"/>
                <w:sz w:val="16"/>
                <w:szCs w:val="16"/>
              </w:rPr>
              <w:t>70.075.717,61</w:t>
            </w:r>
          </w:p>
        </w:tc>
        <w:tc>
          <w:tcPr>
            <w:tcW w:w="2117" w:type="dxa"/>
            <w:tcBorders>
              <w:top w:val="nil"/>
              <w:left w:val="nil"/>
              <w:bottom w:val="single" w:sz="4" w:space="0" w:color="C0C0C0"/>
              <w:right w:val="single" w:sz="4" w:space="0" w:color="000000"/>
            </w:tcBorders>
            <w:shd w:val="clear" w:color="auto" w:fill="auto"/>
            <w:noWrap/>
            <w:vAlign w:val="center"/>
            <w:hideMark/>
          </w:tcPr>
          <w:p w14:paraId="036BA641" w14:textId="77777777" w:rsidR="007B3FD5" w:rsidRPr="007B3FD5" w:rsidRDefault="007B3FD5" w:rsidP="007B3FD5">
            <w:pPr>
              <w:jc w:val="right"/>
              <w:rPr>
                <w:rFonts w:ascii="Arial" w:hAnsi="Arial" w:cs="Arial"/>
                <w:color w:val="000000"/>
                <w:sz w:val="16"/>
                <w:szCs w:val="16"/>
              </w:rPr>
            </w:pPr>
            <w:r w:rsidRPr="007B3FD5">
              <w:rPr>
                <w:rFonts w:ascii="Arial" w:hAnsi="Arial" w:cs="Arial"/>
                <w:color w:val="000000"/>
                <w:sz w:val="16"/>
                <w:szCs w:val="16"/>
              </w:rPr>
              <w:t>110,8</w:t>
            </w:r>
          </w:p>
        </w:tc>
      </w:tr>
      <w:tr w:rsidR="007B3FD5" w:rsidRPr="007B3FD5" w14:paraId="38157F84" w14:textId="77777777" w:rsidTr="00145A75">
        <w:trPr>
          <w:trHeight w:val="255"/>
        </w:trPr>
        <w:tc>
          <w:tcPr>
            <w:tcW w:w="1400" w:type="dxa"/>
            <w:tcBorders>
              <w:top w:val="nil"/>
              <w:left w:val="single" w:sz="4" w:space="0" w:color="000000"/>
              <w:bottom w:val="single" w:sz="4" w:space="0" w:color="C0C0C0"/>
              <w:right w:val="single" w:sz="4" w:space="0" w:color="000080"/>
            </w:tcBorders>
            <w:shd w:val="clear" w:color="auto" w:fill="auto"/>
            <w:vAlign w:val="center"/>
            <w:hideMark/>
          </w:tcPr>
          <w:p w14:paraId="491F31E4" w14:textId="77777777" w:rsidR="007B3FD5" w:rsidRPr="007B3FD5" w:rsidRDefault="007B3FD5" w:rsidP="007B3FD5">
            <w:pPr>
              <w:rPr>
                <w:rFonts w:ascii="Arial" w:hAnsi="Arial" w:cs="Arial"/>
                <w:color w:val="000000"/>
                <w:sz w:val="18"/>
                <w:szCs w:val="18"/>
              </w:rPr>
            </w:pPr>
            <w:r w:rsidRPr="007B3FD5">
              <w:rPr>
                <w:rFonts w:ascii="Arial" w:hAnsi="Arial" w:cs="Arial"/>
                <w:color w:val="000000"/>
                <w:sz w:val="18"/>
                <w:szCs w:val="18"/>
              </w:rPr>
              <w:t>0453</w:t>
            </w:r>
          </w:p>
        </w:tc>
        <w:tc>
          <w:tcPr>
            <w:tcW w:w="6380" w:type="dxa"/>
            <w:tcBorders>
              <w:top w:val="nil"/>
              <w:left w:val="nil"/>
              <w:bottom w:val="single" w:sz="4" w:space="0" w:color="C0C0C0"/>
              <w:right w:val="single" w:sz="4" w:space="0" w:color="000080"/>
            </w:tcBorders>
            <w:shd w:val="clear" w:color="auto" w:fill="auto"/>
            <w:vAlign w:val="center"/>
            <w:hideMark/>
          </w:tcPr>
          <w:p w14:paraId="4CC9D21E" w14:textId="77777777" w:rsidR="007B3FD5" w:rsidRPr="007B3FD5" w:rsidRDefault="007B3FD5" w:rsidP="007B3FD5">
            <w:pPr>
              <w:rPr>
                <w:rFonts w:ascii="Arial" w:hAnsi="Arial" w:cs="Arial"/>
                <w:color w:val="000000"/>
                <w:sz w:val="18"/>
                <w:szCs w:val="18"/>
              </w:rPr>
            </w:pPr>
            <w:r w:rsidRPr="007B3FD5">
              <w:rPr>
                <w:rFonts w:ascii="Arial" w:hAnsi="Arial" w:cs="Arial"/>
                <w:color w:val="000000"/>
                <w:sz w:val="18"/>
                <w:szCs w:val="18"/>
              </w:rPr>
              <w:t>Željeznički promet</w:t>
            </w:r>
          </w:p>
        </w:tc>
        <w:tc>
          <w:tcPr>
            <w:tcW w:w="1340" w:type="dxa"/>
            <w:tcBorders>
              <w:top w:val="nil"/>
              <w:left w:val="nil"/>
              <w:bottom w:val="single" w:sz="4" w:space="0" w:color="C0C0C0"/>
              <w:right w:val="single" w:sz="4" w:space="0" w:color="000080"/>
            </w:tcBorders>
            <w:shd w:val="clear" w:color="auto" w:fill="auto"/>
            <w:vAlign w:val="center"/>
            <w:hideMark/>
          </w:tcPr>
          <w:p w14:paraId="758E9E04" w14:textId="77777777" w:rsidR="007B3FD5" w:rsidRPr="007B3FD5" w:rsidRDefault="007B3FD5" w:rsidP="007B3FD5">
            <w:pPr>
              <w:rPr>
                <w:rFonts w:ascii="Arial" w:hAnsi="Arial" w:cs="Arial"/>
                <w:b/>
                <w:bCs/>
                <w:color w:val="0C0C0C"/>
                <w:sz w:val="18"/>
                <w:szCs w:val="18"/>
              </w:rPr>
            </w:pPr>
            <w:r w:rsidRPr="007B3FD5">
              <w:rPr>
                <w:rFonts w:ascii="Arial" w:hAnsi="Arial" w:cs="Arial"/>
                <w:b/>
                <w:bCs/>
                <w:color w:val="0C0C0C"/>
                <w:sz w:val="18"/>
                <w:szCs w:val="18"/>
              </w:rPr>
              <w:t>0453</w:t>
            </w:r>
          </w:p>
        </w:tc>
        <w:tc>
          <w:tcPr>
            <w:tcW w:w="1540" w:type="dxa"/>
            <w:tcBorders>
              <w:top w:val="nil"/>
              <w:left w:val="nil"/>
              <w:bottom w:val="single" w:sz="4" w:space="0" w:color="C0C0C0"/>
              <w:right w:val="single" w:sz="4" w:space="0" w:color="000080"/>
            </w:tcBorders>
            <w:shd w:val="clear" w:color="auto" w:fill="auto"/>
            <w:noWrap/>
            <w:vAlign w:val="center"/>
            <w:hideMark/>
          </w:tcPr>
          <w:p w14:paraId="7B50E67A" w14:textId="77777777" w:rsidR="007B3FD5" w:rsidRPr="007B3FD5" w:rsidRDefault="007B3FD5" w:rsidP="007B3FD5">
            <w:pPr>
              <w:jc w:val="right"/>
              <w:rPr>
                <w:rFonts w:ascii="Arial" w:hAnsi="Arial" w:cs="Arial"/>
                <w:color w:val="000000"/>
                <w:sz w:val="16"/>
                <w:szCs w:val="16"/>
              </w:rPr>
            </w:pPr>
            <w:r w:rsidRPr="007B3FD5">
              <w:rPr>
                <w:rFonts w:ascii="Arial" w:hAnsi="Arial" w:cs="Arial"/>
                <w:color w:val="000000"/>
                <w:sz w:val="16"/>
                <w:szCs w:val="16"/>
              </w:rPr>
              <w:t>506.245.797,27</w:t>
            </w:r>
          </w:p>
        </w:tc>
        <w:tc>
          <w:tcPr>
            <w:tcW w:w="1540" w:type="dxa"/>
            <w:tcBorders>
              <w:top w:val="nil"/>
              <w:left w:val="nil"/>
              <w:bottom w:val="single" w:sz="4" w:space="0" w:color="C0C0C0"/>
              <w:right w:val="single" w:sz="4" w:space="0" w:color="000080"/>
            </w:tcBorders>
            <w:shd w:val="clear" w:color="auto" w:fill="auto"/>
            <w:noWrap/>
            <w:vAlign w:val="center"/>
            <w:hideMark/>
          </w:tcPr>
          <w:p w14:paraId="69A6CD3B" w14:textId="77777777" w:rsidR="007B3FD5" w:rsidRPr="007B3FD5" w:rsidRDefault="007B3FD5" w:rsidP="007B3FD5">
            <w:pPr>
              <w:jc w:val="right"/>
              <w:rPr>
                <w:rFonts w:ascii="Arial" w:hAnsi="Arial" w:cs="Arial"/>
                <w:color w:val="000000"/>
                <w:sz w:val="16"/>
                <w:szCs w:val="16"/>
              </w:rPr>
            </w:pPr>
            <w:r w:rsidRPr="007B3FD5">
              <w:rPr>
                <w:rFonts w:ascii="Arial" w:hAnsi="Arial" w:cs="Arial"/>
                <w:color w:val="000000"/>
                <w:sz w:val="16"/>
                <w:szCs w:val="16"/>
              </w:rPr>
              <w:t>734.136.041,73</w:t>
            </w:r>
          </w:p>
        </w:tc>
        <w:tc>
          <w:tcPr>
            <w:tcW w:w="2117" w:type="dxa"/>
            <w:tcBorders>
              <w:top w:val="nil"/>
              <w:left w:val="nil"/>
              <w:bottom w:val="single" w:sz="4" w:space="0" w:color="C0C0C0"/>
              <w:right w:val="single" w:sz="4" w:space="0" w:color="000000"/>
            </w:tcBorders>
            <w:shd w:val="clear" w:color="auto" w:fill="auto"/>
            <w:noWrap/>
            <w:vAlign w:val="center"/>
            <w:hideMark/>
          </w:tcPr>
          <w:p w14:paraId="3F1C3477" w14:textId="77777777" w:rsidR="007B3FD5" w:rsidRPr="007B3FD5" w:rsidRDefault="007B3FD5" w:rsidP="007B3FD5">
            <w:pPr>
              <w:jc w:val="right"/>
              <w:rPr>
                <w:rFonts w:ascii="Arial" w:hAnsi="Arial" w:cs="Arial"/>
                <w:color w:val="000000"/>
                <w:sz w:val="16"/>
                <w:szCs w:val="16"/>
              </w:rPr>
            </w:pPr>
            <w:r w:rsidRPr="007B3FD5">
              <w:rPr>
                <w:rFonts w:ascii="Arial" w:hAnsi="Arial" w:cs="Arial"/>
                <w:color w:val="000000"/>
                <w:sz w:val="16"/>
                <w:szCs w:val="16"/>
              </w:rPr>
              <w:t>145,0</w:t>
            </w:r>
          </w:p>
        </w:tc>
      </w:tr>
      <w:tr w:rsidR="007B3FD5" w:rsidRPr="007B3FD5" w14:paraId="71B218EA" w14:textId="77777777" w:rsidTr="00145A75">
        <w:trPr>
          <w:trHeight w:val="255"/>
        </w:trPr>
        <w:tc>
          <w:tcPr>
            <w:tcW w:w="1400" w:type="dxa"/>
            <w:tcBorders>
              <w:top w:val="nil"/>
              <w:left w:val="single" w:sz="4" w:space="0" w:color="000000"/>
              <w:bottom w:val="single" w:sz="4" w:space="0" w:color="C0C0C0"/>
              <w:right w:val="single" w:sz="4" w:space="0" w:color="000080"/>
            </w:tcBorders>
            <w:shd w:val="clear" w:color="auto" w:fill="auto"/>
            <w:vAlign w:val="center"/>
            <w:hideMark/>
          </w:tcPr>
          <w:p w14:paraId="2BC9ACF7" w14:textId="77777777" w:rsidR="007B3FD5" w:rsidRPr="007B3FD5" w:rsidRDefault="007B3FD5" w:rsidP="007B3FD5">
            <w:pPr>
              <w:rPr>
                <w:rFonts w:ascii="Arial" w:hAnsi="Arial" w:cs="Arial"/>
                <w:color w:val="000000"/>
                <w:sz w:val="18"/>
                <w:szCs w:val="18"/>
              </w:rPr>
            </w:pPr>
            <w:r w:rsidRPr="007B3FD5">
              <w:rPr>
                <w:rFonts w:ascii="Arial" w:hAnsi="Arial" w:cs="Arial"/>
                <w:color w:val="000000"/>
                <w:sz w:val="18"/>
                <w:szCs w:val="18"/>
              </w:rPr>
              <w:t>0454</w:t>
            </w:r>
          </w:p>
        </w:tc>
        <w:tc>
          <w:tcPr>
            <w:tcW w:w="6380" w:type="dxa"/>
            <w:tcBorders>
              <w:top w:val="nil"/>
              <w:left w:val="nil"/>
              <w:bottom w:val="single" w:sz="4" w:space="0" w:color="C0C0C0"/>
              <w:right w:val="single" w:sz="4" w:space="0" w:color="000080"/>
            </w:tcBorders>
            <w:shd w:val="clear" w:color="auto" w:fill="auto"/>
            <w:vAlign w:val="center"/>
            <w:hideMark/>
          </w:tcPr>
          <w:p w14:paraId="72FD5A8A" w14:textId="77777777" w:rsidR="007B3FD5" w:rsidRPr="007B3FD5" w:rsidRDefault="007B3FD5" w:rsidP="007B3FD5">
            <w:pPr>
              <w:rPr>
                <w:rFonts w:ascii="Arial" w:hAnsi="Arial" w:cs="Arial"/>
                <w:color w:val="000000"/>
                <w:sz w:val="18"/>
                <w:szCs w:val="18"/>
              </w:rPr>
            </w:pPr>
            <w:r w:rsidRPr="007B3FD5">
              <w:rPr>
                <w:rFonts w:ascii="Arial" w:hAnsi="Arial" w:cs="Arial"/>
                <w:color w:val="000000"/>
                <w:sz w:val="18"/>
                <w:szCs w:val="18"/>
              </w:rPr>
              <w:t>Zračni promet</w:t>
            </w:r>
          </w:p>
        </w:tc>
        <w:tc>
          <w:tcPr>
            <w:tcW w:w="1340" w:type="dxa"/>
            <w:tcBorders>
              <w:top w:val="nil"/>
              <w:left w:val="nil"/>
              <w:bottom w:val="single" w:sz="4" w:space="0" w:color="C0C0C0"/>
              <w:right w:val="single" w:sz="4" w:space="0" w:color="000080"/>
            </w:tcBorders>
            <w:shd w:val="clear" w:color="auto" w:fill="auto"/>
            <w:vAlign w:val="center"/>
            <w:hideMark/>
          </w:tcPr>
          <w:p w14:paraId="7C876607" w14:textId="77777777" w:rsidR="007B3FD5" w:rsidRPr="007B3FD5" w:rsidRDefault="007B3FD5" w:rsidP="007B3FD5">
            <w:pPr>
              <w:rPr>
                <w:rFonts w:ascii="Arial" w:hAnsi="Arial" w:cs="Arial"/>
                <w:b/>
                <w:bCs/>
                <w:color w:val="0C0C0C"/>
                <w:sz w:val="18"/>
                <w:szCs w:val="18"/>
              </w:rPr>
            </w:pPr>
            <w:r w:rsidRPr="007B3FD5">
              <w:rPr>
                <w:rFonts w:ascii="Arial" w:hAnsi="Arial" w:cs="Arial"/>
                <w:b/>
                <w:bCs/>
                <w:color w:val="0C0C0C"/>
                <w:sz w:val="18"/>
                <w:szCs w:val="18"/>
              </w:rPr>
              <w:t>0454</w:t>
            </w:r>
          </w:p>
        </w:tc>
        <w:tc>
          <w:tcPr>
            <w:tcW w:w="1540" w:type="dxa"/>
            <w:tcBorders>
              <w:top w:val="nil"/>
              <w:left w:val="nil"/>
              <w:bottom w:val="single" w:sz="4" w:space="0" w:color="C0C0C0"/>
              <w:right w:val="single" w:sz="4" w:space="0" w:color="000080"/>
            </w:tcBorders>
            <w:shd w:val="clear" w:color="auto" w:fill="auto"/>
            <w:noWrap/>
            <w:vAlign w:val="center"/>
            <w:hideMark/>
          </w:tcPr>
          <w:p w14:paraId="71620B28" w14:textId="77777777" w:rsidR="007B3FD5" w:rsidRPr="007B3FD5" w:rsidRDefault="007B3FD5" w:rsidP="007B3FD5">
            <w:pPr>
              <w:jc w:val="right"/>
              <w:rPr>
                <w:rFonts w:ascii="Arial" w:hAnsi="Arial" w:cs="Arial"/>
                <w:color w:val="000000"/>
                <w:sz w:val="16"/>
                <w:szCs w:val="16"/>
              </w:rPr>
            </w:pPr>
            <w:r w:rsidRPr="007B3FD5">
              <w:rPr>
                <w:rFonts w:ascii="Arial" w:hAnsi="Arial" w:cs="Arial"/>
                <w:color w:val="000000"/>
                <w:sz w:val="16"/>
                <w:szCs w:val="16"/>
              </w:rPr>
              <w:t>37.061.461,05</w:t>
            </w:r>
          </w:p>
        </w:tc>
        <w:tc>
          <w:tcPr>
            <w:tcW w:w="1540" w:type="dxa"/>
            <w:tcBorders>
              <w:top w:val="nil"/>
              <w:left w:val="nil"/>
              <w:bottom w:val="single" w:sz="4" w:space="0" w:color="C0C0C0"/>
              <w:right w:val="single" w:sz="4" w:space="0" w:color="000080"/>
            </w:tcBorders>
            <w:shd w:val="clear" w:color="auto" w:fill="auto"/>
            <w:noWrap/>
            <w:vAlign w:val="center"/>
            <w:hideMark/>
          </w:tcPr>
          <w:p w14:paraId="5952FE08" w14:textId="77777777" w:rsidR="007B3FD5" w:rsidRPr="007B3FD5" w:rsidRDefault="007B3FD5" w:rsidP="007B3FD5">
            <w:pPr>
              <w:jc w:val="right"/>
              <w:rPr>
                <w:rFonts w:ascii="Arial" w:hAnsi="Arial" w:cs="Arial"/>
                <w:color w:val="000000"/>
                <w:sz w:val="16"/>
                <w:szCs w:val="16"/>
              </w:rPr>
            </w:pPr>
            <w:r w:rsidRPr="007B3FD5">
              <w:rPr>
                <w:rFonts w:ascii="Arial" w:hAnsi="Arial" w:cs="Arial"/>
                <w:color w:val="000000"/>
                <w:sz w:val="16"/>
                <w:szCs w:val="16"/>
              </w:rPr>
              <w:t>34.254.500,60</w:t>
            </w:r>
          </w:p>
        </w:tc>
        <w:tc>
          <w:tcPr>
            <w:tcW w:w="2117" w:type="dxa"/>
            <w:tcBorders>
              <w:top w:val="nil"/>
              <w:left w:val="nil"/>
              <w:bottom w:val="single" w:sz="4" w:space="0" w:color="C0C0C0"/>
              <w:right w:val="single" w:sz="4" w:space="0" w:color="000000"/>
            </w:tcBorders>
            <w:shd w:val="clear" w:color="auto" w:fill="auto"/>
            <w:noWrap/>
            <w:vAlign w:val="center"/>
            <w:hideMark/>
          </w:tcPr>
          <w:p w14:paraId="5FE86686" w14:textId="77777777" w:rsidR="007B3FD5" w:rsidRPr="007B3FD5" w:rsidRDefault="007B3FD5" w:rsidP="007B3FD5">
            <w:pPr>
              <w:jc w:val="right"/>
              <w:rPr>
                <w:rFonts w:ascii="Arial" w:hAnsi="Arial" w:cs="Arial"/>
                <w:color w:val="000000"/>
                <w:sz w:val="16"/>
                <w:szCs w:val="16"/>
              </w:rPr>
            </w:pPr>
            <w:r w:rsidRPr="007B3FD5">
              <w:rPr>
                <w:rFonts w:ascii="Arial" w:hAnsi="Arial" w:cs="Arial"/>
                <w:color w:val="000000"/>
                <w:sz w:val="16"/>
                <w:szCs w:val="16"/>
              </w:rPr>
              <w:t>92,4</w:t>
            </w:r>
          </w:p>
        </w:tc>
      </w:tr>
      <w:tr w:rsidR="007B3FD5" w:rsidRPr="007B3FD5" w14:paraId="47C32613" w14:textId="77777777" w:rsidTr="00145A75">
        <w:trPr>
          <w:trHeight w:val="255"/>
        </w:trPr>
        <w:tc>
          <w:tcPr>
            <w:tcW w:w="1400" w:type="dxa"/>
            <w:tcBorders>
              <w:top w:val="nil"/>
              <w:left w:val="single" w:sz="4" w:space="0" w:color="000000"/>
              <w:bottom w:val="single" w:sz="4" w:space="0" w:color="C0C0C0"/>
              <w:right w:val="single" w:sz="4" w:space="0" w:color="000080"/>
            </w:tcBorders>
            <w:shd w:val="clear" w:color="auto" w:fill="auto"/>
            <w:vAlign w:val="center"/>
            <w:hideMark/>
          </w:tcPr>
          <w:p w14:paraId="0DE7A179" w14:textId="77777777" w:rsidR="007B3FD5" w:rsidRPr="007B3FD5" w:rsidRDefault="007B3FD5" w:rsidP="007B3FD5">
            <w:pPr>
              <w:rPr>
                <w:rFonts w:ascii="Arial" w:hAnsi="Arial" w:cs="Arial"/>
                <w:color w:val="000000"/>
                <w:sz w:val="18"/>
                <w:szCs w:val="18"/>
              </w:rPr>
            </w:pPr>
            <w:r w:rsidRPr="007B3FD5">
              <w:rPr>
                <w:rFonts w:ascii="Arial" w:hAnsi="Arial" w:cs="Arial"/>
                <w:color w:val="000000"/>
                <w:sz w:val="18"/>
                <w:szCs w:val="18"/>
              </w:rPr>
              <w:t>046</w:t>
            </w:r>
          </w:p>
        </w:tc>
        <w:tc>
          <w:tcPr>
            <w:tcW w:w="6380" w:type="dxa"/>
            <w:tcBorders>
              <w:top w:val="nil"/>
              <w:left w:val="nil"/>
              <w:bottom w:val="single" w:sz="4" w:space="0" w:color="C0C0C0"/>
              <w:right w:val="single" w:sz="4" w:space="0" w:color="000080"/>
            </w:tcBorders>
            <w:shd w:val="clear" w:color="auto" w:fill="auto"/>
            <w:vAlign w:val="center"/>
            <w:hideMark/>
          </w:tcPr>
          <w:p w14:paraId="0A2A689D" w14:textId="77777777" w:rsidR="007B3FD5" w:rsidRPr="007B3FD5" w:rsidRDefault="007B3FD5" w:rsidP="007B3FD5">
            <w:pPr>
              <w:rPr>
                <w:rFonts w:ascii="Arial" w:hAnsi="Arial" w:cs="Arial"/>
                <w:color w:val="000000"/>
                <w:sz w:val="18"/>
                <w:szCs w:val="18"/>
              </w:rPr>
            </w:pPr>
            <w:r w:rsidRPr="007B3FD5">
              <w:rPr>
                <w:rFonts w:ascii="Arial" w:hAnsi="Arial" w:cs="Arial"/>
                <w:color w:val="000000"/>
                <w:sz w:val="18"/>
                <w:szCs w:val="18"/>
              </w:rPr>
              <w:t>Komunikacije</w:t>
            </w:r>
          </w:p>
        </w:tc>
        <w:tc>
          <w:tcPr>
            <w:tcW w:w="1340" w:type="dxa"/>
            <w:tcBorders>
              <w:top w:val="nil"/>
              <w:left w:val="nil"/>
              <w:bottom w:val="single" w:sz="4" w:space="0" w:color="C0C0C0"/>
              <w:right w:val="single" w:sz="4" w:space="0" w:color="000080"/>
            </w:tcBorders>
            <w:shd w:val="clear" w:color="auto" w:fill="auto"/>
            <w:vAlign w:val="center"/>
            <w:hideMark/>
          </w:tcPr>
          <w:p w14:paraId="17FC17B8" w14:textId="77777777" w:rsidR="007B3FD5" w:rsidRPr="007B3FD5" w:rsidRDefault="007B3FD5" w:rsidP="007B3FD5">
            <w:pPr>
              <w:rPr>
                <w:rFonts w:ascii="Arial" w:hAnsi="Arial" w:cs="Arial"/>
                <w:b/>
                <w:bCs/>
                <w:color w:val="0C0C0C"/>
                <w:sz w:val="18"/>
                <w:szCs w:val="18"/>
              </w:rPr>
            </w:pPr>
            <w:r w:rsidRPr="007B3FD5">
              <w:rPr>
                <w:rFonts w:ascii="Arial" w:hAnsi="Arial" w:cs="Arial"/>
                <w:b/>
                <w:bCs/>
                <w:color w:val="0C0C0C"/>
                <w:sz w:val="18"/>
                <w:szCs w:val="18"/>
              </w:rPr>
              <w:t>046</w:t>
            </w:r>
          </w:p>
        </w:tc>
        <w:tc>
          <w:tcPr>
            <w:tcW w:w="1540" w:type="dxa"/>
            <w:tcBorders>
              <w:top w:val="nil"/>
              <w:left w:val="nil"/>
              <w:bottom w:val="single" w:sz="4" w:space="0" w:color="C0C0C0"/>
              <w:right w:val="single" w:sz="4" w:space="0" w:color="000080"/>
            </w:tcBorders>
            <w:shd w:val="clear" w:color="auto" w:fill="auto"/>
            <w:noWrap/>
            <w:vAlign w:val="center"/>
            <w:hideMark/>
          </w:tcPr>
          <w:p w14:paraId="3D26A8AA" w14:textId="77777777" w:rsidR="007B3FD5" w:rsidRPr="007B3FD5" w:rsidRDefault="007B3FD5" w:rsidP="007B3FD5">
            <w:pPr>
              <w:jc w:val="right"/>
              <w:rPr>
                <w:rFonts w:ascii="Arial" w:hAnsi="Arial" w:cs="Arial"/>
                <w:color w:val="000000"/>
                <w:sz w:val="16"/>
                <w:szCs w:val="16"/>
              </w:rPr>
            </w:pPr>
            <w:r w:rsidRPr="007B3FD5">
              <w:rPr>
                <w:rFonts w:ascii="Arial" w:hAnsi="Arial" w:cs="Arial"/>
                <w:color w:val="000000"/>
                <w:sz w:val="16"/>
                <w:szCs w:val="16"/>
              </w:rPr>
              <w:t>53.844.519,51</w:t>
            </w:r>
          </w:p>
        </w:tc>
        <w:tc>
          <w:tcPr>
            <w:tcW w:w="1540" w:type="dxa"/>
            <w:tcBorders>
              <w:top w:val="nil"/>
              <w:left w:val="nil"/>
              <w:bottom w:val="single" w:sz="4" w:space="0" w:color="C0C0C0"/>
              <w:right w:val="single" w:sz="4" w:space="0" w:color="000080"/>
            </w:tcBorders>
            <w:shd w:val="clear" w:color="auto" w:fill="auto"/>
            <w:noWrap/>
            <w:vAlign w:val="center"/>
            <w:hideMark/>
          </w:tcPr>
          <w:p w14:paraId="0F214BCA" w14:textId="77777777" w:rsidR="007B3FD5" w:rsidRPr="007B3FD5" w:rsidRDefault="007B3FD5" w:rsidP="007B3FD5">
            <w:pPr>
              <w:jc w:val="right"/>
              <w:rPr>
                <w:rFonts w:ascii="Arial" w:hAnsi="Arial" w:cs="Arial"/>
                <w:color w:val="000000"/>
                <w:sz w:val="16"/>
                <w:szCs w:val="16"/>
              </w:rPr>
            </w:pPr>
            <w:r w:rsidRPr="007B3FD5">
              <w:rPr>
                <w:rFonts w:ascii="Arial" w:hAnsi="Arial" w:cs="Arial"/>
                <w:color w:val="000000"/>
                <w:sz w:val="16"/>
                <w:szCs w:val="16"/>
              </w:rPr>
              <w:t>19.369.069,34</w:t>
            </w:r>
          </w:p>
        </w:tc>
        <w:tc>
          <w:tcPr>
            <w:tcW w:w="2117" w:type="dxa"/>
            <w:tcBorders>
              <w:top w:val="nil"/>
              <w:left w:val="nil"/>
              <w:bottom w:val="single" w:sz="4" w:space="0" w:color="C0C0C0"/>
              <w:right w:val="single" w:sz="4" w:space="0" w:color="000000"/>
            </w:tcBorders>
            <w:shd w:val="clear" w:color="auto" w:fill="auto"/>
            <w:noWrap/>
            <w:vAlign w:val="center"/>
            <w:hideMark/>
          </w:tcPr>
          <w:p w14:paraId="0B65498C" w14:textId="77777777" w:rsidR="007B3FD5" w:rsidRPr="007B3FD5" w:rsidRDefault="007B3FD5" w:rsidP="007B3FD5">
            <w:pPr>
              <w:jc w:val="right"/>
              <w:rPr>
                <w:rFonts w:ascii="Arial" w:hAnsi="Arial" w:cs="Arial"/>
                <w:color w:val="000000"/>
                <w:sz w:val="16"/>
                <w:szCs w:val="16"/>
              </w:rPr>
            </w:pPr>
            <w:r w:rsidRPr="007B3FD5">
              <w:rPr>
                <w:rFonts w:ascii="Arial" w:hAnsi="Arial" w:cs="Arial"/>
                <w:color w:val="000000"/>
                <w:sz w:val="16"/>
                <w:szCs w:val="16"/>
              </w:rPr>
              <w:t>36,0</w:t>
            </w:r>
          </w:p>
        </w:tc>
      </w:tr>
      <w:tr w:rsidR="007B3FD5" w:rsidRPr="007B3FD5" w14:paraId="15E88E1F" w14:textId="77777777" w:rsidTr="00145A75">
        <w:trPr>
          <w:trHeight w:val="255"/>
        </w:trPr>
        <w:tc>
          <w:tcPr>
            <w:tcW w:w="1400" w:type="dxa"/>
            <w:tcBorders>
              <w:top w:val="nil"/>
              <w:left w:val="single" w:sz="4" w:space="0" w:color="000000"/>
              <w:bottom w:val="single" w:sz="4" w:space="0" w:color="C0C0C0"/>
              <w:right w:val="single" w:sz="4" w:space="0" w:color="000080"/>
            </w:tcBorders>
            <w:shd w:val="clear" w:color="auto" w:fill="auto"/>
            <w:vAlign w:val="center"/>
            <w:hideMark/>
          </w:tcPr>
          <w:p w14:paraId="5207567C" w14:textId="77777777" w:rsidR="007B3FD5" w:rsidRPr="007B3FD5" w:rsidRDefault="007B3FD5" w:rsidP="007B3FD5">
            <w:pPr>
              <w:rPr>
                <w:rFonts w:ascii="Arial" w:hAnsi="Arial" w:cs="Arial"/>
                <w:color w:val="000000"/>
                <w:sz w:val="18"/>
                <w:szCs w:val="18"/>
              </w:rPr>
            </w:pPr>
            <w:r w:rsidRPr="007B3FD5">
              <w:rPr>
                <w:rFonts w:ascii="Arial" w:hAnsi="Arial" w:cs="Arial"/>
                <w:color w:val="000000"/>
                <w:sz w:val="18"/>
                <w:szCs w:val="18"/>
              </w:rPr>
              <w:t>049</w:t>
            </w:r>
          </w:p>
        </w:tc>
        <w:tc>
          <w:tcPr>
            <w:tcW w:w="6380" w:type="dxa"/>
            <w:tcBorders>
              <w:top w:val="nil"/>
              <w:left w:val="nil"/>
              <w:bottom w:val="single" w:sz="4" w:space="0" w:color="C0C0C0"/>
              <w:right w:val="single" w:sz="4" w:space="0" w:color="000080"/>
            </w:tcBorders>
            <w:shd w:val="clear" w:color="auto" w:fill="auto"/>
            <w:vAlign w:val="center"/>
            <w:hideMark/>
          </w:tcPr>
          <w:p w14:paraId="7E8DB5B9" w14:textId="77777777" w:rsidR="007B3FD5" w:rsidRPr="007B3FD5" w:rsidRDefault="007B3FD5" w:rsidP="007B3FD5">
            <w:pPr>
              <w:rPr>
                <w:rFonts w:ascii="Arial" w:hAnsi="Arial" w:cs="Arial"/>
                <w:color w:val="000000"/>
                <w:sz w:val="18"/>
                <w:szCs w:val="18"/>
              </w:rPr>
            </w:pPr>
            <w:r w:rsidRPr="007B3FD5">
              <w:rPr>
                <w:rFonts w:ascii="Arial" w:hAnsi="Arial" w:cs="Arial"/>
                <w:color w:val="000000"/>
                <w:sz w:val="18"/>
                <w:szCs w:val="18"/>
              </w:rPr>
              <w:t>Ekonomski poslovi koji nisu drugdje svrstani</w:t>
            </w:r>
          </w:p>
        </w:tc>
        <w:tc>
          <w:tcPr>
            <w:tcW w:w="1340" w:type="dxa"/>
            <w:tcBorders>
              <w:top w:val="nil"/>
              <w:left w:val="nil"/>
              <w:bottom w:val="single" w:sz="4" w:space="0" w:color="C0C0C0"/>
              <w:right w:val="single" w:sz="4" w:space="0" w:color="000080"/>
            </w:tcBorders>
            <w:shd w:val="clear" w:color="auto" w:fill="auto"/>
            <w:vAlign w:val="center"/>
            <w:hideMark/>
          </w:tcPr>
          <w:p w14:paraId="1D8182E1" w14:textId="77777777" w:rsidR="007B3FD5" w:rsidRPr="007B3FD5" w:rsidRDefault="007B3FD5" w:rsidP="007B3FD5">
            <w:pPr>
              <w:rPr>
                <w:rFonts w:ascii="Arial" w:hAnsi="Arial" w:cs="Arial"/>
                <w:b/>
                <w:bCs/>
                <w:color w:val="0C0C0C"/>
                <w:sz w:val="18"/>
                <w:szCs w:val="18"/>
              </w:rPr>
            </w:pPr>
            <w:r w:rsidRPr="007B3FD5">
              <w:rPr>
                <w:rFonts w:ascii="Arial" w:hAnsi="Arial" w:cs="Arial"/>
                <w:b/>
                <w:bCs/>
                <w:color w:val="0C0C0C"/>
                <w:sz w:val="18"/>
                <w:szCs w:val="18"/>
              </w:rPr>
              <w:t>049</w:t>
            </w:r>
          </w:p>
        </w:tc>
        <w:tc>
          <w:tcPr>
            <w:tcW w:w="1540" w:type="dxa"/>
            <w:tcBorders>
              <w:top w:val="nil"/>
              <w:left w:val="nil"/>
              <w:bottom w:val="single" w:sz="4" w:space="0" w:color="C0C0C0"/>
              <w:right w:val="single" w:sz="4" w:space="0" w:color="000080"/>
            </w:tcBorders>
            <w:shd w:val="clear" w:color="auto" w:fill="auto"/>
            <w:noWrap/>
            <w:vAlign w:val="center"/>
            <w:hideMark/>
          </w:tcPr>
          <w:p w14:paraId="0C86B135" w14:textId="77777777" w:rsidR="007B3FD5" w:rsidRPr="007B3FD5" w:rsidRDefault="007B3FD5" w:rsidP="007B3FD5">
            <w:pPr>
              <w:jc w:val="right"/>
              <w:rPr>
                <w:rFonts w:ascii="Arial" w:hAnsi="Arial" w:cs="Arial"/>
                <w:color w:val="000000"/>
                <w:sz w:val="16"/>
                <w:szCs w:val="16"/>
              </w:rPr>
            </w:pPr>
            <w:r w:rsidRPr="007B3FD5">
              <w:rPr>
                <w:rFonts w:ascii="Arial" w:hAnsi="Arial" w:cs="Arial"/>
                <w:color w:val="000000"/>
                <w:sz w:val="16"/>
                <w:szCs w:val="16"/>
              </w:rPr>
              <w:t>20.687.457,59</w:t>
            </w:r>
          </w:p>
        </w:tc>
        <w:tc>
          <w:tcPr>
            <w:tcW w:w="1540" w:type="dxa"/>
            <w:tcBorders>
              <w:top w:val="nil"/>
              <w:left w:val="nil"/>
              <w:bottom w:val="single" w:sz="4" w:space="0" w:color="C0C0C0"/>
              <w:right w:val="single" w:sz="4" w:space="0" w:color="000080"/>
            </w:tcBorders>
            <w:shd w:val="clear" w:color="auto" w:fill="auto"/>
            <w:noWrap/>
            <w:vAlign w:val="center"/>
            <w:hideMark/>
          </w:tcPr>
          <w:p w14:paraId="2648EBF6" w14:textId="77777777" w:rsidR="007B3FD5" w:rsidRPr="007B3FD5" w:rsidRDefault="007B3FD5" w:rsidP="007B3FD5">
            <w:pPr>
              <w:jc w:val="right"/>
              <w:rPr>
                <w:rFonts w:ascii="Arial" w:hAnsi="Arial" w:cs="Arial"/>
                <w:color w:val="000000"/>
                <w:sz w:val="16"/>
                <w:szCs w:val="16"/>
              </w:rPr>
            </w:pPr>
            <w:r w:rsidRPr="007B3FD5">
              <w:rPr>
                <w:rFonts w:ascii="Arial" w:hAnsi="Arial" w:cs="Arial"/>
                <w:color w:val="000000"/>
                <w:sz w:val="16"/>
                <w:szCs w:val="16"/>
              </w:rPr>
              <w:t>24.174.007,35</w:t>
            </w:r>
          </w:p>
        </w:tc>
        <w:tc>
          <w:tcPr>
            <w:tcW w:w="2117" w:type="dxa"/>
            <w:tcBorders>
              <w:top w:val="nil"/>
              <w:left w:val="nil"/>
              <w:bottom w:val="single" w:sz="4" w:space="0" w:color="C0C0C0"/>
              <w:right w:val="single" w:sz="4" w:space="0" w:color="000000"/>
            </w:tcBorders>
            <w:shd w:val="clear" w:color="auto" w:fill="auto"/>
            <w:noWrap/>
            <w:vAlign w:val="center"/>
            <w:hideMark/>
          </w:tcPr>
          <w:p w14:paraId="56910E90" w14:textId="77777777" w:rsidR="007B3FD5" w:rsidRPr="007B3FD5" w:rsidRDefault="007B3FD5" w:rsidP="007B3FD5">
            <w:pPr>
              <w:jc w:val="right"/>
              <w:rPr>
                <w:rFonts w:ascii="Arial" w:hAnsi="Arial" w:cs="Arial"/>
                <w:color w:val="000000"/>
                <w:sz w:val="16"/>
                <w:szCs w:val="16"/>
              </w:rPr>
            </w:pPr>
            <w:r w:rsidRPr="007B3FD5">
              <w:rPr>
                <w:rFonts w:ascii="Arial" w:hAnsi="Arial" w:cs="Arial"/>
                <w:color w:val="000000"/>
                <w:sz w:val="16"/>
                <w:szCs w:val="16"/>
              </w:rPr>
              <w:t>116,9</w:t>
            </w:r>
          </w:p>
        </w:tc>
      </w:tr>
      <w:tr w:rsidR="007B3FD5" w:rsidRPr="007B3FD5" w14:paraId="64AB6C8B" w14:textId="77777777" w:rsidTr="00145A75">
        <w:trPr>
          <w:trHeight w:val="255"/>
        </w:trPr>
        <w:tc>
          <w:tcPr>
            <w:tcW w:w="1400" w:type="dxa"/>
            <w:tcBorders>
              <w:top w:val="nil"/>
              <w:left w:val="single" w:sz="4" w:space="0" w:color="000000"/>
              <w:bottom w:val="single" w:sz="4" w:space="0" w:color="000000"/>
              <w:right w:val="single" w:sz="4" w:space="0" w:color="000080"/>
            </w:tcBorders>
            <w:shd w:val="clear" w:color="auto" w:fill="auto"/>
            <w:vAlign w:val="center"/>
            <w:hideMark/>
          </w:tcPr>
          <w:p w14:paraId="7D979237" w14:textId="77777777" w:rsidR="007B3FD5" w:rsidRPr="007B3FD5" w:rsidRDefault="007B3FD5" w:rsidP="007B3FD5">
            <w:pPr>
              <w:rPr>
                <w:rFonts w:ascii="Arial" w:hAnsi="Arial" w:cs="Arial"/>
                <w:color w:val="000000"/>
                <w:sz w:val="18"/>
                <w:szCs w:val="18"/>
              </w:rPr>
            </w:pPr>
            <w:r w:rsidRPr="007B3FD5">
              <w:rPr>
                <w:rFonts w:ascii="Arial" w:hAnsi="Arial" w:cs="Arial"/>
                <w:color w:val="000000"/>
                <w:sz w:val="18"/>
                <w:szCs w:val="18"/>
              </w:rPr>
              <w:t> </w:t>
            </w:r>
          </w:p>
        </w:tc>
        <w:tc>
          <w:tcPr>
            <w:tcW w:w="6380" w:type="dxa"/>
            <w:tcBorders>
              <w:top w:val="nil"/>
              <w:left w:val="nil"/>
              <w:bottom w:val="single" w:sz="4" w:space="0" w:color="000000"/>
              <w:right w:val="single" w:sz="4" w:space="0" w:color="000080"/>
            </w:tcBorders>
            <w:shd w:val="clear" w:color="auto" w:fill="auto"/>
            <w:vAlign w:val="center"/>
            <w:hideMark/>
          </w:tcPr>
          <w:p w14:paraId="3AD1475C" w14:textId="77777777" w:rsidR="007B3FD5" w:rsidRPr="007B3FD5" w:rsidRDefault="007B3FD5" w:rsidP="007B3FD5">
            <w:pPr>
              <w:rPr>
                <w:rFonts w:ascii="Arial" w:hAnsi="Arial" w:cs="Arial"/>
                <w:b/>
                <w:bCs/>
                <w:color w:val="000000"/>
                <w:sz w:val="18"/>
                <w:szCs w:val="18"/>
              </w:rPr>
            </w:pPr>
            <w:r w:rsidRPr="007B3FD5">
              <w:rPr>
                <w:rFonts w:ascii="Arial" w:hAnsi="Arial" w:cs="Arial"/>
                <w:b/>
                <w:bCs/>
                <w:color w:val="000000"/>
                <w:sz w:val="18"/>
                <w:szCs w:val="18"/>
              </w:rPr>
              <w:t>Kontrolni zbroj (šifre 01+02+03+04+05+06+07+08+09+10)</w:t>
            </w:r>
          </w:p>
        </w:tc>
        <w:tc>
          <w:tcPr>
            <w:tcW w:w="1340" w:type="dxa"/>
            <w:tcBorders>
              <w:top w:val="nil"/>
              <w:left w:val="nil"/>
              <w:bottom w:val="single" w:sz="4" w:space="0" w:color="000000"/>
              <w:right w:val="single" w:sz="4" w:space="0" w:color="000080"/>
            </w:tcBorders>
            <w:shd w:val="clear" w:color="auto" w:fill="auto"/>
            <w:vAlign w:val="center"/>
            <w:hideMark/>
          </w:tcPr>
          <w:p w14:paraId="09AB662C" w14:textId="77777777" w:rsidR="007B3FD5" w:rsidRPr="007B3FD5" w:rsidRDefault="007B3FD5" w:rsidP="007B3FD5">
            <w:pPr>
              <w:rPr>
                <w:rFonts w:ascii="Arial" w:hAnsi="Arial" w:cs="Arial"/>
                <w:b/>
                <w:bCs/>
                <w:color w:val="0C0C0C"/>
                <w:sz w:val="18"/>
                <w:szCs w:val="18"/>
              </w:rPr>
            </w:pPr>
            <w:r w:rsidRPr="007B3FD5">
              <w:rPr>
                <w:rFonts w:ascii="Arial" w:hAnsi="Arial" w:cs="Arial"/>
                <w:b/>
                <w:bCs/>
                <w:color w:val="0C0C0C"/>
                <w:sz w:val="18"/>
                <w:szCs w:val="18"/>
              </w:rPr>
              <w:t>R1</w:t>
            </w:r>
          </w:p>
        </w:tc>
        <w:tc>
          <w:tcPr>
            <w:tcW w:w="1540" w:type="dxa"/>
            <w:tcBorders>
              <w:top w:val="nil"/>
              <w:left w:val="nil"/>
              <w:bottom w:val="single" w:sz="4" w:space="0" w:color="000000"/>
              <w:right w:val="single" w:sz="4" w:space="0" w:color="000080"/>
            </w:tcBorders>
            <w:shd w:val="clear" w:color="auto" w:fill="auto"/>
            <w:noWrap/>
            <w:vAlign w:val="center"/>
            <w:hideMark/>
          </w:tcPr>
          <w:p w14:paraId="0F7B5FFB" w14:textId="77777777" w:rsidR="007B3FD5" w:rsidRPr="007B3FD5" w:rsidRDefault="007B3FD5" w:rsidP="007B3FD5">
            <w:pPr>
              <w:jc w:val="right"/>
              <w:rPr>
                <w:rFonts w:ascii="Arial" w:hAnsi="Arial" w:cs="Arial"/>
                <w:b/>
                <w:bCs/>
                <w:color w:val="000080"/>
                <w:sz w:val="16"/>
                <w:szCs w:val="16"/>
              </w:rPr>
            </w:pPr>
            <w:r w:rsidRPr="007B3FD5">
              <w:rPr>
                <w:rFonts w:ascii="Arial" w:hAnsi="Arial" w:cs="Arial"/>
                <w:b/>
                <w:bCs/>
                <w:color w:val="000080"/>
                <w:sz w:val="16"/>
                <w:szCs w:val="16"/>
              </w:rPr>
              <w:t>1.226.866.754,32</w:t>
            </w:r>
          </w:p>
        </w:tc>
        <w:tc>
          <w:tcPr>
            <w:tcW w:w="1540" w:type="dxa"/>
            <w:tcBorders>
              <w:top w:val="nil"/>
              <w:left w:val="nil"/>
              <w:bottom w:val="single" w:sz="4" w:space="0" w:color="000000"/>
              <w:right w:val="single" w:sz="4" w:space="0" w:color="000080"/>
            </w:tcBorders>
            <w:shd w:val="clear" w:color="auto" w:fill="auto"/>
            <w:noWrap/>
            <w:vAlign w:val="center"/>
            <w:hideMark/>
          </w:tcPr>
          <w:p w14:paraId="0B1DEA4B" w14:textId="77777777" w:rsidR="007B3FD5" w:rsidRPr="007B3FD5" w:rsidRDefault="007B3FD5" w:rsidP="007B3FD5">
            <w:pPr>
              <w:jc w:val="right"/>
              <w:rPr>
                <w:rFonts w:ascii="Arial" w:hAnsi="Arial" w:cs="Arial"/>
                <w:b/>
                <w:bCs/>
                <w:color w:val="000080"/>
                <w:sz w:val="16"/>
                <w:szCs w:val="16"/>
              </w:rPr>
            </w:pPr>
            <w:r w:rsidRPr="007B3FD5">
              <w:rPr>
                <w:rFonts w:ascii="Arial" w:hAnsi="Arial" w:cs="Arial"/>
                <w:b/>
                <w:bCs/>
                <w:color w:val="000080"/>
                <w:sz w:val="16"/>
                <w:szCs w:val="16"/>
              </w:rPr>
              <w:t>1.387.008.271,71</w:t>
            </w:r>
          </w:p>
        </w:tc>
        <w:tc>
          <w:tcPr>
            <w:tcW w:w="2117" w:type="dxa"/>
            <w:tcBorders>
              <w:top w:val="nil"/>
              <w:left w:val="nil"/>
              <w:bottom w:val="single" w:sz="4" w:space="0" w:color="000000"/>
              <w:right w:val="single" w:sz="4" w:space="0" w:color="000000"/>
            </w:tcBorders>
            <w:shd w:val="clear" w:color="auto" w:fill="auto"/>
            <w:noWrap/>
            <w:vAlign w:val="center"/>
            <w:hideMark/>
          </w:tcPr>
          <w:p w14:paraId="15B1E503" w14:textId="77777777" w:rsidR="007B3FD5" w:rsidRPr="007B3FD5" w:rsidRDefault="007B3FD5" w:rsidP="007B3FD5">
            <w:pPr>
              <w:jc w:val="right"/>
              <w:rPr>
                <w:rFonts w:ascii="Arial" w:hAnsi="Arial" w:cs="Arial"/>
                <w:color w:val="000000"/>
                <w:sz w:val="16"/>
                <w:szCs w:val="16"/>
              </w:rPr>
            </w:pPr>
            <w:r w:rsidRPr="007B3FD5">
              <w:rPr>
                <w:rFonts w:ascii="Arial" w:hAnsi="Arial" w:cs="Arial"/>
                <w:color w:val="000000"/>
                <w:sz w:val="16"/>
                <w:szCs w:val="16"/>
              </w:rPr>
              <w:t>113,1</w:t>
            </w:r>
          </w:p>
        </w:tc>
      </w:tr>
    </w:tbl>
    <w:p w14:paraId="2E25D3AF" w14:textId="7B367D71" w:rsidR="00E80CD3" w:rsidRDefault="00E80CD3" w:rsidP="00EF490C">
      <w:pPr>
        <w:spacing w:after="160" w:line="259" w:lineRule="auto"/>
        <w:ind w:left="-142"/>
        <w:jc w:val="both"/>
        <w:rPr>
          <w:rFonts w:ascii="Calibri" w:hAnsi="Calibri"/>
          <w:sz w:val="22"/>
          <w:szCs w:val="22"/>
        </w:rPr>
      </w:pPr>
    </w:p>
    <w:p w14:paraId="74774C90" w14:textId="5946FD02" w:rsidR="00E80CD3" w:rsidRDefault="00E80CD3" w:rsidP="00EF490C">
      <w:pPr>
        <w:spacing w:after="160" w:line="259" w:lineRule="auto"/>
        <w:ind w:left="-142"/>
        <w:jc w:val="both"/>
        <w:rPr>
          <w:rFonts w:ascii="Calibri" w:hAnsi="Calibri"/>
          <w:sz w:val="22"/>
          <w:szCs w:val="22"/>
        </w:rPr>
      </w:pPr>
    </w:p>
    <w:p w14:paraId="13650860" w14:textId="3FC603D9" w:rsidR="00145A75" w:rsidRDefault="00145A75" w:rsidP="00EF490C">
      <w:pPr>
        <w:spacing w:after="160" w:line="259" w:lineRule="auto"/>
        <w:ind w:left="-142"/>
        <w:jc w:val="both"/>
        <w:rPr>
          <w:rFonts w:ascii="Calibri" w:hAnsi="Calibri"/>
          <w:sz w:val="22"/>
          <w:szCs w:val="22"/>
        </w:rPr>
      </w:pPr>
    </w:p>
    <w:p w14:paraId="2A8E6198" w14:textId="3AC1DED3" w:rsidR="00145A75" w:rsidRDefault="00145A75" w:rsidP="00EF490C">
      <w:pPr>
        <w:spacing w:after="160" w:line="259" w:lineRule="auto"/>
        <w:ind w:left="-142"/>
        <w:jc w:val="both"/>
        <w:rPr>
          <w:rFonts w:ascii="Calibri" w:hAnsi="Calibri"/>
          <w:sz w:val="22"/>
          <w:szCs w:val="22"/>
        </w:rPr>
      </w:pPr>
    </w:p>
    <w:p w14:paraId="3A8E0CE2" w14:textId="15F66000" w:rsidR="00145A75" w:rsidRDefault="00145A75" w:rsidP="00EF490C">
      <w:pPr>
        <w:spacing w:after="160" w:line="259" w:lineRule="auto"/>
        <w:ind w:left="-142"/>
        <w:jc w:val="both"/>
        <w:rPr>
          <w:rFonts w:ascii="Calibri" w:hAnsi="Calibri"/>
          <w:sz w:val="22"/>
          <w:szCs w:val="22"/>
        </w:rPr>
      </w:pPr>
    </w:p>
    <w:p w14:paraId="27CD8A43" w14:textId="27DE1D18" w:rsidR="00145A75" w:rsidRDefault="00145A75" w:rsidP="00EF490C">
      <w:pPr>
        <w:spacing w:after="160" w:line="259" w:lineRule="auto"/>
        <w:ind w:left="-142"/>
        <w:jc w:val="both"/>
        <w:rPr>
          <w:rFonts w:ascii="Calibri" w:hAnsi="Calibri"/>
          <w:sz w:val="22"/>
          <w:szCs w:val="22"/>
        </w:rPr>
      </w:pPr>
    </w:p>
    <w:p w14:paraId="0F0EF4F8" w14:textId="4C9D026C" w:rsidR="00145A75" w:rsidRDefault="00145A75" w:rsidP="00EF490C">
      <w:pPr>
        <w:spacing w:after="160" w:line="259" w:lineRule="auto"/>
        <w:ind w:left="-142"/>
        <w:jc w:val="both"/>
        <w:rPr>
          <w:rFonts w:ascii="Calibri" w:hAnsi="Calibri"/>
          <w:sz w:val="22"/>
          <w:szCs w:val="22"/>
        </w:rPr>
      </w:pPr>
    </w:p>
    <w:p w14:paraId="3E72D582" w14:textId="7D921DC4" w:rsidR="00145A75" w:rsidRDefault="00145A75" w:rsidP="00EF490C">
      <w:pPr>
        <w:spacing w:after="160" w:line="259" w:lineRule="auto"/>
        <w:ind w:left="-142"/>
        <w:jc w:val="both"/>
        <w:rPr>
          <w:rFonts w:ascii="Calibri" w:hAnsi="Calibri"/>
          <w:sz w:val="22"/>
          <w:szCs w:val="22"/>
        </w:rPr>
      </w:pPr>
    </w:p>
    <w:p w14:paraId="698CE029" w14:textId="77777777" w:rsidR="00145A75" w:rsidRDefault="00145A75" w:rsidP="00EF490C">
      <w:pPr>
        <w:spacing w:after="160" w:line="259" w:lineRule="auto"/>
        <w:ind w:left="-142"/>
        <w:jc w:val="both"/>
        <w:rPr>
          <w:rFonts w:ascii="Calibri" w:hAnsi="Calibri"/>
          <w:sz w:val="22"/>
          <w:szCs w:val="22"/>
        </w:rPr>
      </w:pPr>
    </w:p>
    <w:p w14:paraId="775678C5" w14:textId="38989024" w:rsidR="00E80CD3" w:rsidRDefault="00E80CD3" w:rsidP="00EF490C">
      <w:pPr>
        <w:spacing w:after="160" w:line="259" w:lineRule="auto"/>
        <w:ind w:left="-142"/>
        <w:jc w:val="both"/>
        <w:rPr>
          <w:rFonts w:ascii="Calibri" w:hAnsi="Calibri"/>
          <w:sz w:val="22"/>
          <w:szCs w:val="22"/>
        </w:rPr>
      </w:pPr>
    </w:p>
    <w:tbl>
      <w:tblPr>
        <w:tblW w:w="14317" w:type="dxa"/>
        <w:tblLook w:val="04A0" w:firstRow="1" w:lastRow="0" w:firstColumn="1" w:lastColumn="0" w:noHBand="0" w:noVBand="1"/>
      </w:tblPr>
      <w:tblGrid>
        <w:gridCol w:w="1400"/>
        <w:gridCol w:w="6380"/>
        <w:gridCol w:w="1340"/>
        <w:gridCol w:w="1540"/>
        <w:gridCol w:w="3657"/>
      </w:tblGrid>
      <w:tr w:rsidR="002E0EB1" w:rsidRPr="002E0EB1" w14:paraId="2F868F08" w14:textId="77777777" w:rsidTr="00145A75">
        <w:trPr>
          <w:trHeight w:val="1002"/>
        </w:trPr>
        <w:tc>
          <w:tcPr>
            <w:tcW w:w="14317" w:type="dxa"/>
            <w:gridSpan w:val="5"/>
            <w:tcBorders>
              <w:top w:val="nil"/>
              <w:left w:val="nil"/>
              <w:bottom w:val="nil"/>
              <w:right w:val="nil"/>
            </w:tcBorders>
            <w:shd w:val="clear" w:color="auto" w:fill="auto"/>
            <w:vAlign w:val="center"/>
            <w:hideMark/>
          </w:tcPr>
          <w:p w14:paraId="2B5679AC" w14:textId="77777777" w:rsidR="002E0EB1" w:rsidRPr="002E0EB1" w:rsidRDefault="002E0EB1" w:rsidP="002E0EB1">
            <w:pPr>
              <w:jc w:val="center"/>
              <w:rPr>
                <w:rFonts w:ascii="Arial" w:hAnsi="Arial" w:cs="Arial"/>
                <w:b/>
                <w:bCs/>
                <w:color w:val="0C0C0C"/>
                <w:sz w:val="28"/>
                <w:szCs w:val="28"/>
              </w:rPr>
            </w:pPr>
            <w:r w:rsidRPr="002E0EB1">
              <w:rPr>
                <w:rFonts w:ascii="Arial" w:hAnsi="Arial" w:cs="Arial"/>
                <w:b/>
                <w:bCs/>
                <w:color w:val="0C0C0C"/>
                <w:sz w:val="28"/>
                <w:szCs w:val="28"/>
              </w:rPr>
              <w:lastRenderedPageBreak/>
              <w:t>IZVJEŠTAJ O PROMJENAMA U VRIJEDNOSTI</w:t>
            </w:r>
            <w:r w:rsidRPr="002E0EB1">
              <w:rPr>
                <w:rFonts w:ascii="Arial" w:hAnsi="Arial" w:cs="Arial"/>
                <w:b/>
                <w:bCs/>
                <w:color w:val="0C0C0C"/>
                <w:sz w:val="28"/>
                <w:szCs w:val="28"/>
              </w:rPr>
              <w:br/>
              <w:t>I OBUJMU IMOVINE I OBVEZA</w:t>
            </w:r>
          </w:p>
        </w:tc>
      </w:tr>
      <w:tr w:rsidR="002E0EB1" w:rsidRPr="002E0EB1" w14:paraId="7E9B0060" w14:textId="77777777" w:rsidTr="00145A75">
        <w:trPr>
          <w:trHeight w:val="960"/>
        </w:trPr>
        <w:tc>
          <w:tcPr>
            <w:tcW w:w="1400" w:type="dxa"/>
            <w:tcBorders>
              <w:top w:val="single" w:sz="4" w:space="0" w:color="000000"/>
              <w:left w:val="single" w:sz="4" w:space="0" w:color="000000"/>
              <w:bottom w:val="single" w:sz="4" w:space="0" w:color="000000"/>
              <w:right w:val="single" w:sz="4" w:space="0" w:color="000080"/>
            </w:tcBorders>
            <w:shd w:val="clear" w:color="auto" w:fill="auto"/>
            <w:vAlign w:val="center"/>
            <w:hideMark/>
          </w:tcPr>
          <w:p w14:paraId="5829EDB0" w14:textId="77777777" w:rsidR="002E0EB1" w:rsidRPr="002E0EB1" w:rsidRDefault="002E0EB1" w:rsidP="002E0EB1">
            <w:pPr>
              <w:jc w:val="center"/>
              <w:rPr>
                <w:rFonts w:ascii="Arial" w:hAnsi="Arial" w:cs="Arial"/>
                <w:b/>
                <w:bCs/>
                <w:color w:val="000000"/>
                <w:sz w:val="18"/>
                <w:szCs w:val="18"/>
              </w:rPr>
            </w:pPr>
            <w:r w:rsidRPr="002E0EB1">
              <w:rPr>
                <w:rFonts w:ascii="Arial" w:hAnsi="Arial" w:cs="Arial"/>
                <w:b/>
                <w:bCs/>
                <w:color w:val="000000"/>
                <w:sz w:val="18"/>
                <w:szCs w:val="18"/>
              </w:rPr>
              <w:t xml:space="preserve">Račun iz </w:t>
            </w:r>
            <w:proofErr w:type="spellStart"/>
            <w:r w:rsidRPr="002E0EB1">
              <w:rPr>
                <w:rFonts w:ascii="Arial" w:hAnsi="Arial" w:cs="Arial"/>
                <w:b/>
                <w:bCs/>
                <w:color w:val="000000"/>
                <w:sz w:val="18"/>
                <w:szCs w:val="18"/>
              </w:rPr>
              <w:t>rač</w:t>
            </w:r>
            <w:proofErr w:type="spellEnd"/>
            <w:r w:rsidRPr="002E0EB1">
              <w:rPr>
                <w:rFonts w:ascii="Arial" w:hAnsi="Arial" w:cs="Arial"/>
                <w:b/>
                <w:bCs/>
                <w:color w:val="000000"/>
                <w:sz w:val="18"/>
                <w:szCs w:val="18"/>
              </w:rPr>
              <w:t>. plana</w:t>
            </w:r>
          </w:p>
        </w:tc>
        <w:tc>
          <w:tcPr>
            <w:tcW w:w="6380" w:type="dxa"/>
            <w:tcBorders>
              <w:top w:val="single" w:sz="4" w:space="0" w:color="000000"/>
              <w:left w:val="nil"/>
              <w:bottom w:val="single" w:sz="4" w:space="0" w:color="000000"/>
              <w:right w:val="single" w:sz="4" w:space="0" w:color="000080"/>
            </w:tcBorders>
            <w:shd w:val="clear" w:color="auto" w:fill="auto"/>
            <w:vAlign w:val="center"/>
            <w:hideMark/>
          </w:tcPr>
          <w:p w14:paraId="5B90533A" w14:textId="77777777" w:rsidR="002E0EB1" w:rsidRPr="002E0EB1" w:rsidRDefault="002E0EB1" w:rsidP="002E0EB1">
            <w:pPr>
              <w:jc w:val="center"/>
              <w:rPr>
                <w:rFonts w:ascii="Arial" w:hAnsi="Arial" w:cs="Arial"/>
                <w:b/>
                <w:bCs/>
                <w:color w:val="000000"/>
                <w:sz w:val="18"/>
                <w:szCs w:val="18"/>
              </w:rPr>
            </w:pPr>
            <w:r w:rsidRPr="002E0EB1">
              <w:rPr>
                <w:rFonts w:ascii="Arial" w:hAnsi="Arial" w:cs="Arial"/>
                <w:b/>
                <w:bCs/>
                <w:color w:val="000000"/>
                <w:sz w:val="18"/>
                <w:szCs w:val="18"/>
              </w:rPr>
              <w:t>Opis stavke</w:t>
            </w:r>
          </w:p>
        </w:tc>
        <w:tc>
          <w:tcPr>
            <w:tcW w:w="1340" w:type="dxa"/>
            <w:tcBorders>
              <w:top w:val="single" w:sz="4" w:space="0" w:color="000000"/>
              <w:left w:val="nil"/>
              <w:bottom w:val="nil"/>
              <w:right w:val="single" w:sz="4" w:space="0" w:color="000080"/>
            </w:tcBorders>
            <w:shd w:val="clear" w:color="auto" w:fill="auto"/>
            <w:vAlign w:val="center"/>
            <w:hideMark/>
          </w:tcPr>
          <w:p w14:paraId="4AD5AD30" w14:textId="77777777" w:rsidR="002E0EB1" w:rsidRPr="002E0EB1" w:rsidRDefault="002E0EB1" w:rsidP="002E0EB1">
            <w:pPr>
              <w:jc w:val="center"/>
              <w:rPr>
                <w:rFonts w:ascii="Arial" w:hAnsi="Arial" w:cs="Arial"/>
                <w:b/>
                <w:bCs/>
                <w:color w:val="0C0C0C"/>
                <w:sz w:val="18"/>
                <w:szCs w:val="18"/>
              </w:rPr>
            </w:pPr>
            <w:r w:rsidRPr="002E0EB1">
              <w:rPr>
                <w:rFonts w:ascii="Arial" w:hAnsi="Arial" w:cs="Arial"/>
                <w:b/>
                <w:bCs/>
                <w:color w:val="0C0C0C"/>
                <w:sz w:val="18"/>
                <w:szCs w:val="18"/>
              </w:rPr>
              <w:t>Šifra</w:t>
            </w:r>
          </w:p>
        </w:tc>
        <w:tc>
          <w:tcPr>
            <w:tcW w:w="1540" w:type="dxa"/>
            <w:tcBorders>
              <w:top w:val="single" w:sz="4" w:space="0" w:color="000000"/>
              <w:left w:val="nil"/>
              <w:bottom w:val="single" w:sz="4" w:space="0" w:color="000000"/>
              <w:right w:val="single" w:sz="4" w:space="0" w:color="000080"/>
            </w:tcBorders>
            <w:shd w:val="clear" w:color="auto" w:fill="auto"/>
            <w:vAlign w:val="center"/>
            <w:hideMark/>
          </w:tcPr>
          <w:p w14:paraId="0261F178" w14:textId="77777777" w:rsidR="002E0EB1" w:rsidRPr="002E0EB1" w:rsidRDefault="002E0EB1" w:rsidP="002E0EB1">
            <w:pPr>
              <w:jc w:val="center"/>
              <w:rPr>
                <w:rFonts w:ascii="Arial" w:hAnsi="Arial" w:cs="Arial"/>
                <w:b/>
                <w:bCs/>
                <w:color w:val="000000"/>
                <w:sz w:val="18"/>
                <w:szCs w:val="18"/>
              </w:rPr>
            </w:pPr>
            <w:r w:rsidRPr="002E0EB1">
              <w:rPr>
                <w:rFonts w:ascii="Arial" w:hAnsi="Arial" w:cs="Arial"/>
                <w:b/>
                <w:bCs/>
                <w:color w:val="000000"/>
                <w:sz w:val="18"/>
                <w:szCs w:val="18"/>
              </w:rPr>
              <w:t>Iznos povećanja</w:t>
            </w:r>
          </w:p>
        </w:tc>
        <w:tc>
          <w:tcPr>
            <w:tcW w:w="3657" w:type="dxa"/>
            <w:tcBorders>
              <w:top w:val="single" w:sz="4" w:space="0" w:color="000000"/>
              <w:left w:val="nil"/>
              <w:bottom w:val="single" w:sz="4" w:space="0" w:color="000000"/>
              <w:right w:val="single" w:sz="4" w:space="0" w:color="000000"/>
            </w:tcBorders>
            <w:shd w:val="clear" w:color="auto" w:fill="auto"/>
            <w:vAlign w:val="center"/>
            <w:hideMark/>
          </w:tcPr>
          <w:p w14:paraId="027932B5" w14:textId="77777777" w:rsidR="002E0EB1" w:rsidRPr="002E0EB1" w:rsidRDefault="002E0EB1" w:rsidP="002E0EB1">
            <w:pPr>
              <w:jc w:val="center"/>
              <w:rPr>
                <w:rFonts w:ascii="Arial" w:hAnsi="Arial" w:cs="Arial"/>
                <w:b/>
                <w:bCs/>
                <w:color w:val="000000"/>
                <w:sz w:val="18"/>
                <w:szCs w:val="18"/>
              </w:rPr>
            </w:pPr>
            <w:r w:rsidRPr="002E0EB1">
              <w:rPr>
                <w:rFonts w:ascii="Arial" w:hAnsi="Arial" w:cs="Arial"/>
                <w:b/>
                <w:bCs/>
                <w:color w:val="000000"/>
                <w:sz w:val="18"/>
                <w:szCs w:val="18"/>
              </w:rPr>
              <w:t>Iznos smanjenja</w:t>
            </w:r>
          </w:p>
        </w:tc>
      </w:tr>
      <w:tr w:rsidR="002E0EB1" w:rsidRPr="002E0EB1" w14:paraId="2F42C094" w14:textId="77777777" w:rsidTr="00145A75">
        <w:trPr>
          <w:trHeight w:val="240"/>
        </w:trPr>
        <w:tc>
          <w:tcPr>
            <w:tcW w:w="1400" w:type="dxa"/>
            <w:tcBorders>
              <w:top w:val="nil"/>
              <w:left w:val="single" w:sz="4" w:space="0" w:color="000000"/>
              <w:bottom w:val="nil"/>
              <w:right w:val="single" w:sz="4" w:space="0" w:color="000080"/>
            </w:tcBorders>
            <w:shd w:val="clear" w:color="000000" w:fill="FFFFCC"/>
            <w:vAlign w:val="center"/>
            <w:hideMark/>
          </w:tcPr>
          <w:p w14:paraId="1B6A63AD" w14:textId="77777777" w:rsidR="002E0EB1" w:rsidRPr="002E0EB1" w:rsidRDefault="002E0EB1" w:rsidP="002E0EB1">
            <w:pPr>
              <w:jc w:val="center"/>
              <w:rPr>
                <w:rFonts w:ascii="Arial" w:hAnsi="Arial" w:cs="Arial"/>
                <w:b/>
                <w:bCs/>
                <w:color w:val="000080"/>
                <w:sz w:val="18"/>
                <w:szCs w:val="18"/>
              </w:rPr>
            </w:pPr>
            <w:r w:rsidRPr="002E0EB1">
              <w:rPr>
                <w:rFonts w:ascii="Arial" w:hAnsi="Arial" w:cs="Arial"/>
                <w:b/>
                <w:bCs/>
                <w:color w:val="000080"/>
                <w:sz w:val="18"/>
                <w:szCs w:val="18"/>
              </w:rPr>
              <w:t>1</w:t>
            </w:r>
          </w:p>
        </w:tc>
        <w:tc>
          <w:tcPr>
            <w:tcW w:w="6380" w:type="dxa"/>
            <w:tcBorders>
              <w:top w:val="nil"/>
              <w:left w:val="nil"/>
              <w:bottom w:val="nil"/>
              <w:right w:val="single" w:sz="4" w:space="0" w:color="000080"/>
            </w:tcBorders>
            <w:shd w:val="clear" w:color="000000" w:fill="FFFFCC"/>
            <w:vAlign w:val="center"/>
            <w:hideMark/>
          </w:tcPr>
          <w:p w14:paraId="5B7E98F8" w14:textId="77777777" w:rsidR="002E0EB1" w:rsidRPr="002E0EB1" w:rsidRDefault="002E0EB1" w:rsidP="002E0EB1">
            <w:pPr>
              <w:jc w:val="center"/>
              <w:rPr>
                <w:rFonts w:ascii="Arial" w:hAnsi="Arial" w:cs="Arial"/>
                <w:b/>
                <w:bCs/>
                <w:color w:val="000080"/>
                <w:sz w:val="18"/>
                <w:szCs w:val="18"/>
              </w:rPr>
            </w:pPr>
            <w:r w:rsidRPr="002E0EB1">
              <w:rPr>
                <w:rFonts w:ascii="Arial" w:hAnsi="Arial" w:cs="Arial"/>
                <w:b/>
                <w:bCs/>
                <w:color w:val="000080"/>
                <w:sz w:val="18"/>
                <w:szCs w:val="18"/>
              </w:rPr>
              <w:t>2</w:t>
            </w:r>
          </w:p>
        </w:tc>
        <w:tc>
          <w:tcPr>
            <w:tcW w:w="1340" w:type="dxa"/>
            <w:tcBorders>
              <w:top w:val="single" w:sz="4" w:space="0" w:color="000000"/>
              <w:left w:val="nil"/>
              <w:bottom w:val="nil"/>
              <w:right w:val="single" w:sz="4" w:space="0" w:color="000080"/>
            </w:tcBorders>
            <w:shd w:val="clear" w:color="000000" w:fill="FFFFCC"/>
            <w:noWrap/>
            <w:vAlign w:val="center"/>
            <w:hideMark/>
          </w:tcPr>
          <w:p w14:paraId="22BF59FB" w14:textId="77777777" w:rsidR="002E0EB1" w:rsidRPr="002E0EB1" w:rsidRDefault="002E0EB1" w:rsidP="002E0EB1">
            <w:pPr>
              <w:jc w:val="center"/>
              <w:rPr>
                <w:rFonts w:ascii="Arial" w:hAnsi="Arial" w:cs="Arial"/>
                <w:b/>
                <w:bCs/>
                <w:color w:val="000080"/>
                <w:sz w:val="18"/>
                <w:szCs w:val="18"/>
              </w:rPr>
            </w:pPr>
            <w:r w:rsidRPr="002E0EB1">
              <w:rPr>
                <w:rFonts w:ascii="Arial" w:hAnsi="Arial" w:cs="Arial"/>
                <w:b/>
                <w:bCs/>
                <w:color w:val="000080"/>
                <w:sz w:val="18"/>
                <w:szCs w:val="18"/>
              </w:rPr>
              <w:t>3</w:t>
            </w:r>
          </w:p>
        </w:tc>
        <w:tc>
          <w:tcPr>
            <w:tcW w:w="1540" w:type="dxa"/>
            <w:tcBorders>
              <w:top w:val="nil"/>
              <w:left w:val="nil"/>
              <w:bottom w:val="nil"/>
              <w:right w:val="single" w:sz="4" w:space="0" w:color="000080"/>
            </w:tcBorders>
            <w:shd w:val="clear" w:color="000000" w:fill="FFFFCC"/>
            <w:noWrap/>
            <w:vAlign w:val="center"/>
            <w:hideMark/>
          </w:tcPr>
          <w:p w14:paraId="21EBBDA3" w14:textId="77777777" w:rsidR="002E0EB1" w:rsidRPr="002E0EB1" w:rsidRDefault="002E0EB1" w:rsidP="002E0EB1">
            <w:pPr>
              <w:jc w:val="center"/>
              <w:rPr>
                <w:rFonts w:ascii="Arial" w:hAnsi="Arial" w:cs="Arial"/>
                <w:b/>
                <w:bCs/>
                <w:color w:val="000080"/>
                <w:sz w:val="18"/>
                <w:szCs w:val="18"/>
              </w:rPr>
            </w:pPr>
            <w:r w:rsidRPr="002E0EB1">
              <w:rPr>
                <w:rFonts w:ascii="Arial" w:hAnsi="Arial" w:cs="Arial"/>
                <w:b/>
                <w:bCs/>
                <w:color w:val="000080"/>
                <w:sz w:val="18"/>
                <w:szCs w:val="18"/>
              </w:rPr>
              <w:t>4</w:t>
            </w:r>
          </w:p>
        </w:tc>
        <w:tc>
          <w:tcPr>
            <w:tcW w:w="3657" w:type="dxa"/>
            <w:tcBorders>
              <w:top w:val="nil"/>
              <w:left w:val="nil"/>
              <w:bottom w:val="nil"/>
              <w:right w:val="single" w:sz="4" w:space="0" w:color="000000"/>
            </w:tcBorders>
            <w:shd w:val="clear" w:color="000000" w:fill="FFFFCC"/>
            <w:vAlign w:val="center"/>
            <w:hideMark/>
          </w:tcPr>
          <w:p w14:paraId="6BD6ECAE" w14:textId="77777777" w:rsidR="002E0EB1" w:rsidRPr="002E0EB1" w:rsidRDefault="002E0EB1" w:rsidP="002E0EB1">
            <w:pPr>
              <w:jc w:val="center"/>
              <w:rPr>
                <w:rFonts w:ascii="Arial" w:hAnsi="Arial" w:cs="Arial"/>
                <w:b/>
                <w:bCs/>
                <w:color w:val="000080"/>
                <w:sz w:val="18"/>
                <w:szCs w:val="18"/>
              </w:rPr>
            </w:pPr>
            <w:r w:rsidRPr="002E0EB1">
              <w:rPr>
                <w:rFonts w:ascii="Arial" w:hAnsi="Arial" w:cs="Arial"/>
                <w:b/>
                <w:bCs/>
                <w:color w:val="000080"/>
                <w:sz w:val="18"/>
                <w:szCs w:val="18"/>
              </w:rPr>
              <w:t>5</w:t>
            </w:r>
          </w:p>
        </w:tc>
      </w:tr>
      <w:tr w:rsidR="002E0EB1" w:rsidRPr="002E0EB1" w14:paraId="624B0DEB" w14:textId="77777777" w:rsidTr="00145A75">
        <w:trPr>
          <w:trHeight w:val="270"/>
        </w:trPr>
        <w:tc>
          <w:tcPr>
            <w:tcW w:w="1400" w:type="dxa"/>
            <w:tcBorders>
              <w:top w:val="single" w:sz="4" w:space="0" w:color="000000"/>
              <w:left w:val="single" w:sz="4" w:space="0" w:color="000000"/>
              <w:bottom w:val="single" w:sz="4" w:space="0" w:color="C0C0C0"/>
              <w:right w:val="single" w:sz="4" w:space="0" w:color="000080"/>
            </w:tcBorders>
            <w:shd w:val="clear" w:color="auto" w:fill="auto"/>
            <w:vAlign w:val="center"/>
            <w:hideMark/>
          </w:tcPr>
          <w:p w14:paraId="2EE2C0DD" w14:textId="77777777" w:rsidR="002E0EB1" w:rsidRPr="002E0EB1" w:rsidRDefault="002E0EB1" w:rsidP="002E0EB1">
            <w:pPr>
              <w:rPr>
                <w:rFonts w:ascii="Arial" w:hAnsi="Arial" w:cs="Arial"/>
                <w:sz w:val="18"/>
                <w:szCs w:val="18"/>
              </w:rPr>
            </w:pPr>
            <w:r w:rsidRPr="002E0EB1">
              <w:rPr>
                <w:rFonts w:ascii="Arial" w:hAnsi="Arial" w:cs="Arial"/>
                <w:sz w:val="18"/>
                <w:szCs w:val="18"/>
              </w:rPr>
              <w:t>9151</w:t>
            </w:r>
          </w:p>
        </w:tc>
        <w:tc>
          <w:tcPr>
            <w:tcW w:w="6380" w:type="dxa"/>
            <w:tcBorders>
              <w:top w:val="single" w:sz="4" w:space="0" w:color="000000"/>
              <w:left w:val="nil"/>
              <w:bottom w:val="single" w:sz="4" w:space="0" w:color="C0C0C0"/>
              <w:right w:val="single" w:sz="4" w:space="0" w:color="000080"/>
            </w:tcBorders>
            <w:shd w:val="clear" w:color="auto" w:fill="auto"/>
            <w:vAlign w:val="center"/>
            <w:hideMark/>
          </w:tcPr>
          <w:p w14:paraId="4C0DA29F" w14:textId="77777777" w:rsidR="002E0EB1" w:rsidRPr="002E0EB1" w:rsidRDefault="002E0EB1" w:rsidP="002E0EB1">
            <w:pPr>
              <w:rPr>
                <w:rFonts w:ascii="Arial" w:hAnsi="Arial" w:cs="Arial"/>
                <w:sz w:val="18"/>
                <w:szCs w:val="18"/>
              </w:rPr>
            </w:pPr>
            <w:r w:rsidRPr="002E0EB1">
              <w:rPr>
                <w:rFonts w:ascii="Arial" w:hAnsi="Arial" w:cs="Arial"/>
                <w:sz w:val="18"/>
                <w:szCs w:val="18"/>
              </w:rPr>
              <w:t>Promjene u vrijednosti i obujmu imovine (šifre 91511+91512)</w:t>
            </w:r>
          </w:p>
        </w:tc>
        <w:tc>
          <w:tcPr>
            <w:tcW w:w="1340" w:type="dxa"/>
            <w:tcBorders>
              <w:top w:val="single" w:sz="4" w:space="0" w:color="000000"/>
              <w:left w:val="nil"/>
              <w:bottom w:val="single" w:sz="4" w:space="0" w:color="C0C0C0"/>
              <w:right w:val="single" w:sz="4" w:space="0" w:color="000080"/>
            </w:tcBorders>
            <w:shd w:val="clear" w:color="auto" w:fill="auto"/>
            <w:vAlign w:val="center"/>
            <w:hideMark/>
          </w:tcPr>
          <w:p w14:paraId="42247A6A" w14:textId="77777777" w:rsidR="002E0EB1" w:rsidRPr="002E0EB1" w:rsidRDefault="002E0EB1" w:rsidP="002E0EB1">
            <w:pPr>
              <w:rPr>
                <w:rFonts w:ascii="Arial" w:hAnsi="Arial" w:cs="Arial"/>
                <w:b/>
                <w:bCs/>
                <w:sz w:val="18"/>
                <w:szCs w:val="18"/>
              </w:rPr>
            </w:pPr>
            <w:r w:rsidRPr="002E0EB1">
              <w:rPr>
                <w:rFonts w:ascii="Arial" w:hAnsi="Arial" w:cs="Arial"/>
                <w:b/>
                <w:bCs/>
                <w:sz w:val="18"/>
                <w:szCs w:val="18"/>
              </w:rPr>
              <w:t>9151</w:t>
            </w:r>
          </w:p>
        </w:tc>
        <w:tc>
          <w:tcPr>
            <w:tcW w:w="1540" w:type="dxa"/>
            <w:tcBorders>
              <w:top w:val="single" w:sz="4" w:space="0" w:color="000000"/>
              <w:left w:val="nil"/>
              <w:bottom w:val="single" w:sz="4" w:space="0" w:color="C0C0C0"/>
              <w:right w:val="single" w:sz="4" w:space="0" w:color="000080"/>
            </w:tcBorders>
            <w:shd w:val="clear" w:color="auto" w:fill="auto"/>
            <w:noWrap/>
            <w:vAlign w:val="center"/>
            <w:hideMark/>
          </w:tcPr>
          <w:p w14:paraId="0C790762" w14:textId="77777777" w:rsidR="002E0EB1" w:rsidRPr="002E0EB1" w:rsidRDefault="002E0EB1" w:rsidP="002E0EB1">
            <w:pPr>
              <w:jc w:val="right"/>
              <w:rPr>
                <w:rFonts w:ascii="Arial" w:hAnsi="Arial" w:cs="Arial"/>
                <w:b/>
                <w:bCs/>
                <w:color w:val="000080"/>
                <w:sz w:val="16"/>
                <w:szCs w:val="16"/>
              </w:rPr>
            </w:pPr>
            <w:r w:rsidRPr="002E0EB1">
              <w:rPr>
                <w:rFonts w:ascii="Arial" w:hAnsi="Arial" w:cs="Arial"/>
                <w:b/>
                <w:bCs/>
                <w:color w:val="000080"/>
                <w:sz w:val="16"/>
                <w:szCs w:val="16"/>
              </w:rPr>
              <w:t>0,00</w:t>
            </w:r>
          </w:p>
        </w:tc>
        <w:tc>
          <w:tcPr>
            <w:tcW w:w="3657" w:type="dxa"/>
            <w:tcBorders>
              <w:top w:val="single" w:sz="4" w:space="0" w:color="000000"/>
              <w:left w:val="nil"/>
              <w:bottom w:val="single" w:sz="4" w:space="0" w:color="C0C0C0"/>
              <w:right w:val="single" w:sz="4" w:space="0" w:color="000000"/>
            </w:tcBorders>
            <w:shd w:val="clear" w:color="auto" w:fill="auto"/>
            <w:noWrap/>
            <w:vAlign w:val="center"/>
            <w:hideMark/>
          </w:tcPr>
          <w:p w14:paraId="1A1CEA09" w14:textId="77777777" w:rsidR="002E0EB1" w:rsidRPr="002E0EB1" w:rsidRDefault="002E0EB1" w:rsidP="002E0EB1">
            <w:pPr>
              <w:jc w:val="right"/>
              <w:rPr>
                <w:rFonts w:ascii="Arial" w:hAnsi="Arial" w:cs="Arial"/>
                <w:b/>
                <w:bCs/>
                <w:color w:val="000080"/>
                <w:sz w:val="16"/>
                <w:szCs w:val="16"/>
              </w:rPr>
            </w:pPr>
            <w:r w:rsidRPr="002E0EB1">
              <w:rPr>
                <w:rFonts w:ascii="Arial" w:hAnsi="Arial" w:cs="Arial"/>
                <w:b/>
                <w:bCs/>
                <w:color w:val="000080"/>
                <w:sz w:val="16"/>
                <w:szCs w:val="16"/>
              </w:rPr>
              <w:t>9.221.415,75</w:t>
            </w:r>
          </w:p>
        </w:tc>
      </w:tr>
      <w:tr w:rsidR="002E0EB1" w:rsidRPr="002E0EB1" w14:paraId="4958717F" w14:textId="77777777" w:rsidTr="00145A75">
        <w:trPr>
          <w:trHeight w:val="270"/>
        </w:trPr>
        <w:tc>
          <w:tcPr>
            <w:tcW w:w="1400" w:type="dxa"/>
            <w:tcBorders>
              <w:top w:val="nil"/>
              <w:left w:val="single" w:sz="4" w:space="0" w:color="000000"/>
              <w:bottom w:val="single" w:sz="4" w:space="0" w:color="C0C0C0"/>
              <w:right w:val="single" w:sz="4" w:space="0" w:color="000080"/>
            </w:tcBorders>
            <w:shd w:val="clear" w:color="auto" w:fill="auto"/>
            <w:vAlign w:val="center"/>
            <w:hideMark/>
          </w:tcPr>
          <w:p w14:paraId="7461E87A" w14:textId="77777777" w:rsidR="002E0EB1" w:rsidRPr="002E0EB1" w:rsidRDefault="002E0EB1" w:rsidP="002E0EB1">
            <w:pPr>
              <w:rPr>
                <w:rFonts w:ascii="Arial" w:hAnsi="Arial" w:cs="Arial"/>
                <w:sz w:val="18"/>
                <w:szCs w:val="18"/>
              </w:rPr>
            </w:pPr>
            <w:r w:rsidRPr="002E0EB1">
              <w:rPr>
                <w:rFonts w:ascii="Arial" w:hAnsi="Arial" w:cs="Arial"/>
                <w:sz w:val="18"/>
                <w:szCs w:val="18"/>
              </w:rPr>
              <w:t>91511</w:t>
            </w:r>
          </w:p>
        </w:tc>
        <w:tc>
          <w:tcPr>
            <w:tcW w:w="6380" w:type="dxa"/>
            <w:tcBorders>
              <w:top w:val="nil"/>
              <w:left w:val="nil"/>
              <w:bottom w:val="single" w:sz="4" w:space="0" w:color="C0C0C0"/>
              <w:right w:val="single" w:sz="4" w:space="0" w:color="000080"/>
            </w:tcBorders>
            <w:shd w:val="clear" w:color="auto" w:fill="auto"/>
            <w:vAlign w:val="center"/>
            <w:hideMark/>
          </w:tcPr>
          <w:p w14:paraId="6B20970A" w14:textId="77777777" w:rsidR="002E0EB1" w:rsidRPr="002E0EB1" w:rsidRDefault="002E0EB1" w:rsidP="002E0EB1">
            <w:pPr>
              <w:rPr>
                <w:rFonts w:ascii="Arial" w:hAnsi="Arial" w:cs="Arial"/>
                <w:sz w:val="18"/>
                <w:szCs w:val="18"/>
              </w:rPr>
            </w:pPr>
            <w:r w:rsidRPr="002E0EB1">
              <w:rPr>
                <w:rFonts w:ascii="Arial" w:hAnsi="Arial" w:cs="Arial"/>
                <w:sz w:val="18"/>
                <w:szCs w:val="18"/>
              </w:rPr>
              <w:t>Promjene u vrijednosti imovine (šifre P001+P008)</w:t>
            </w:r>
          </w:p>
        </w:tc>
        <w:tc>
          <w:tcPr>
            <w:tcW w:w="1340" w:type="dxa"/>
            <w:tcBorders>
              <w:top w:val="nil"/>
              <w:left w:val="nil"/>
              <w:bottom w:val="single" w:sz="4" w:space="0" w:color="C0C0C0"/>
              <w:right w:val="single" w:sz="4" w:space="0" w:color="000080"/>
            </w:tcBorders>
            <w:shd w:val="clear" w:color="auto" w:fill="auto"/>
            <w:vAlign w:val="center"/>
            <w:hideMark/>
          </w:tcPr>
          <w:p w14:paraId="5C4F4B40" w14:textId="77777777" w:rsidR="002E0EB1" w:rsidRPr="002E0EB1" w:rsidRDefault="002E0EB1" w:rsidP="002E0EB1">
            <w:pPr>
              <w:rPr>
                <w:rFonts w:ascii="Arial" w:hAnsi="Arial" w:cs="Arial"/>
                <w:b/>
                <w:bCs/>
                <w:sz w:val="18"/>
                <w:szCs w:val="18"/>
              </w:rPr>
            </w:pPr>
            <w:r w:rsidRPr="002E0EB1">
              <w:rPr>
                <w:rFonts w:ascii="Arial" w:hAnsi="Arial" w:cs="Arial"/>
                <w:b/>
                <w:bCs/>
                <w:sz w:val="18"/>
                <w:szCs w:val="18"/>
              </w:rPr>
              <w:t>91511</w:t>
            </w:r>
          </w:p>
        </w:tc>
        <w:tc>
          <w:tcPr>
            <w:tcW w:w="1540" w:type="dxa"/>
            <w:tcBorders>
              <w:top w:val="nil"/>
              <w:left w:val="nil"/>
              <w:bottom w:val="single" w:sz="4" w:space="0" w:color="C0C0C0"/>
              <w:right w:val="single" w:sz="4" w:space="0" w:color="000080"/>
            </w:tcBorders>
            <w:shd w:val="clear" w:color="auto" w:fill="auto"/>
            <w:noWrap/>
            <w:vAlign w:val="center"/>
            <w:hideMark/>
          </w:tcPr>
          <w:p w14:paraId="6906B063" w14:textId="77777777" w:rsidR="002E0EB1" w:rsidRPr="002E0EB1" w:rsidRDefault="002E0EB1" w:rsidP="002E0EB1">
            <w:pPr>
              <w:jc w:val="right"/>
              <w:rPr>
                <w:rFonts w:ascii="Arial" w:hAnsi="Arial" w:cs="Arial"/>
                <w:b/>
                <w:bCs/>
                <w:color w:val="000080"/>
                <w:sz w:val="16"/>
                <w:szCs w:val="16"/>
              </w:rPr>
            </w:pPr>
            <w:r w:rsidRPr="002E0EB1">
              <w:rPr>
                <w:rFonts w:ascii="Arial" w:hAnsi="Arial" w:cs="Arial"/>
                <w:b/>
                <w:bCs/>
                <w:color w:val="000080"/>
                <w:sz w:val="16"/>
                <w:szCs w:val="16"/>
              </w:rPr>
              <w:t>0,00</w:t>
            </w:r>
          </w:p>
        </w:tc>
        <w:tc>
          <w:tcPr>
            <w:tcW w:w="3657" w:type="dxa"/>
            <w:tcBorders>
              <w:top w:val="nil"/>
              <w:left w:val="nil"/>
              <w:bottom w:val="single" w:sz="4" w:space="0" w:color="C0C0C0"/>
              <w:right w:val="single" w:sz="4" w:space="0" w:color="000000"/>
            </w:tcBorders>
            <w:shd w:val="clear" w:color="auto" w:fill="auto"/>
            <w:noWrap/>
            <w:vAlign w:val="center"/>
            <w:hideMark/>
          </w:tcPr>
          <w:p w14:paraId="40A9B383" w14:textId="77777777" w:rsidR="002E0EB1" w:rsidRPr="002E0EB1" w:rsidRDefault="002E0EB1" w:rsidP="002E0EB1">
            <w:pPr>
              <w:jc w:val="right"/>
              <w:rPr>
                <w:rFonts w:ascii="Arial" w:hAnsi="Arial" w:cs="Arial"/>
                <w:b/>
                <w:bCs/>
                <w:color w:val="000080"/>
                <w:sz w:val="16"/>
                <w:szCs w:val="16"/>
              </w:rPr>
            </w:pPr>
            <w:r w:rsidRPr="002E0EB1">
              <w:rPr>
                <w:rFonts w:ascii="Arial" w:hAnsi="Arial" w:cs="Arial"/>
                <w:b/>
                <w:bCs/>
                <w:color w:val="000080"/>
                <w:sz w:val="16"/>
                <w:szCs w:val="16"/>
              </w:rPr>
              <w:t>8.177.449,32</w:t>
            </w:r>
          </w:p>
        </w:tc>
      </w:tr>
      <w:tr w:rsidR="002E0EB1" w:rsidRPr="002E0EB1" w14:paraId="02458216" w14:textId="77777777" w:rsidTr="00145A75">
        <w:trPr>
          <w:trHeight w:val="255"/>
        </w:trPr>
        <w:tc>
          <w:tcPr>
            <w:tcW w:w="1400" w:type="dxa"/>
            <w:tcBorders>
              <w:top w:val="nil"/>
              <w:left w:val="single" w:sz="4" w:space="0" w:color="000000"/>
              <w:bottom w:val="single" w:sz="4" w:space="0" w:color="C0C0C0"/>
              <w:right w:val="single" w:sz="4" w:space="0" w:color="000080"/>
            </w:tcBorders>
            <w:shd w:val="clear" w:color="auto" w:fill="auto"/>
            <w:vAlign w:val="center"/>
            <w:hideMark/>
          </w:tcPr>
          <w:p w14:paraId="6106E4DC" w14:textId="77777777" w:rsidR="002E0EB1" w:rsidRPr="002E0EB1" w:rsidRDefault="002E0EB1" w:rsidP="002E0EB1">
            <w:pPr>
              <w:rPr>
                <w:rFonts w:ascii="Arial" w:hAnsi="Arial" w:cs="Arial"/>
                <w:sz w:val="18"/>
                <w:szCs w:val="18"/>
              </w:rPr>
            </w:pPr>
            <w:r w:rsidRPr="002E0EB1">
              <w:rPr>
                <w:rFonts w:ascii="Arial" w:hAnsi="Arial" w:cs="Arial"/>
                <w:sz w:val="18"/>
                <w:szCs w:val="18"/>
              </w:rPr>
              <w:t xml:space="preserve"> </w:t>
            </w:r>
          </w:p>
        </w:tc>
        <w:tc>
          <w:tcPr>
            <w:tcW w:w="6380" w:type="dxa"/>
            <w:tcBorders>
              <w:top w:val="nil"/>
              <w:left w:val="nil"/>
              <w:bottom w:val="single" w:sz="4" w:space="0" w:color="C0C0C0"/>
              <w:right w:val="single" w:sz="4" w:space="0" w:color="000080"/>
            </w:tcBorders>
            <w:shd w:val="clear" w:color="auto" w:fill="auto"/>
            <w:vAlign w:val="center"/>
            <w:hideMark/>
          </w:tcPr>
          <w:p w14:paraId="6086AFF3" w14:textId="77777777" w:rsidR="002E0EB1" w:rsidRPr="002E0EB1" w:rsidRDefault="002E0EB1" w:rsidP="002E0EB1">
            <w:pPr>
              <w:rPr>
                <w:rFonts w:ascii="Arial" w:hAnsi="Arial" w:cs="Arial"/>
                <w:sz w:val="18"/>
                <w:szCs w:val="18"/>
              </w:rPr>
            </w:pPr>
            <w:r w:rsidRPr="002E0EB1">
              <w:rPr>
                <w:rFonts w:ascii="Arial" w:hAnsi="Arial" w:cs="Arial"/>
                <w:sz w:val="18"/>
                <w:szCs w:val="18"/>
              </w:rPr>
              <w:t>Promjene u vrijednosti nefinancijske imovine (šifre P002 do P007)</w:t>
            </w:r>
          </w:p>
        </w:tc>
        <w:tc>
          <w:tcPr>
            <w:tcW w:w="1340" w:type="dxa"/>
            <w:tcBorders>
              <w:top w:val="nil"/>
              <w:left w:val="nil"/>
              <w:bottom w:val="single" w:sz="4" w:space="0" w:color="C0C0C0"/>
              <w:right w:val="single" w:sz="4" w:space="0" w:color="000080"/>
            </w:tcBorders>
            <w:shd w:val="clear" w:color="auto" w:fill="auto"/>
            <w:vAlign w:val="center"/>
            <w:hideMark/>
          </w:tcPr>
          <w:p w14:paraId="2A18E9ED" w14:textId="77777777" w:rsidR="002E0EB1" w:rsidRPr="002E0EB1" w:rsidRDefault="002E0EB1" w:rsidP="002E0EB1">
            <w:pPr>
              <w:rPr>
                <w:rFonts w:ascii="Arial" w:hAnsi="Arial" w:cs="Arial"/>
                <w:b/>
                <w:bCs/>
                <w:sz w:val="18"/>
                <w:szCs w:val="18"/>
              </w:rPr>
            </w:pPr>
            <w:r w:rsidRPr="002E0EB1">
              <w:rPr>
                <w:rFonts w:ascii="Arial" w:hAnsi="Arial" w:cs="Arial"/>
                <w:b/>
                <w:bCs/>
                <w:sz w:val="18"/>
                <w:szCs w:val="18"/>
              </w:rPr>
              <w:t>P001</w:t>
            </w:r>
          </w:p>
        </w:tc>
        <w:tc>
          <w:tcPr>
            <w:tcW w:w="1540" w:type="dxa"/>
            <w:tcBorders>
              <w:top w:val="nil"/>
              <w:left w:val="nil"/>
              <w:bottom w:val="single" w:sz="4" w:space="0" w:color="C0C0C0"/>
              <w:right w:val="single" w:sz="4" w:space="0" w:color="000080"/>
            </w:tcBorders>
            <w:shd w:val="clear" w:color="auto" w:fill="auto"/>
            <w:noWrap/>
            <w:vAlign w:val="center"/>
            <w:hideMark/>
          </w:tcPr>
          <w:p w14:paraId="18D2EB1D" w14:textId="77777777" w:rsidR="002E0EB1" w:rsidRPr="002E0EB1" w:rsidRDefault="002E0EB1" w:rsidP="002E0EB1">
            <w:pPr>
              <w:jc w:val="right"/>
              <w:rPr>
                <w:rFonts w:ascii="Arial" w:hAnsi="Arial" w:cs="Arial"/>
                <w:b/>
                <w:bCs/>
                <w:color w:val="000080"/>
                <w:sz w:val="16"/>
                <w:szCs w:val="16"/>
              </w:rPr>
            </w:pPr>
            <w:r w:rsidRPr="002E0EB1">
              <w:rPr>
                <w:rFonts w:ascii="Arial" w:hAnsi="Arial" w:cs="Arial"/>
                <w:b/>
                <w:bCs/>
                <w:color w:val="000080"/>
                <w:sz w:val="16"/>
                <w:szCs w:val="16"/>
              </w:rPr>
              <w:t>0,00</w:t>
            </w:r>
          </w:p>
        </w:tc>
        <w:tc>
          <w:tcPr>
            <w:tcW w:w="3657" w:type="dxa"/>
            <w:tcBorders>
              <w:top w:val="nil"/>
              <w:left w:val="nil"/>
              <w:bottom w:val="single" w:sz="4" w:space="0" w:color="C0C0C0"/>
              <w:right w:val="single" w:sz="4" w:space="0" w:color="000000"/>
            </w:tcBorders>
            <w:shd w:val="clear" w:color="auto" w:fill="auto"/>
            <w:noWrap/>
            <w:vAlign w:val="center"/>
            <w:hideMark/>
          </w:tcPr>
          <w:p w14:paraId="6E926BFC" w14:textId="77777777" w:rsidR="002E0EB1" w:rsidRPr="002E0EB1" w:rsidRDefault="002E0EB1" w:rsidP="002E0EB1">
            <w:pPr>
              <w:jc w:val="right"/>
              <w:rPr>
                <w:rFonts w:ascii="Arial" w:hAnsi="Arial" w:cs="Arial"/>
                <w:b/>
                <w:bCs/>
                <w:color w:val="000080"/>
                <w:sz w:val="16"/>
                <w:szCs w:val="16"/>
              </w:rPr>
            </w:pPr>
            <w:r w:rsidRPr="002E0EB1">
              <w:rPr>
                <w:rFonts w:ascii="Arial" w:hAnsi="Arial" w:cs="Arial"/>
                <w:b/>
                <w:bCs/>
                <w:color w:val="000080"/>
                <w:sz w:val="16"/>
                <w:szCs w:val="16"/>
              </w:rPr>
              <w:t>8.177.449,32</w:t>
            </w:r>
          </w:p>
        </w:tc>
      </w:tr>
      <w:tr w:rsidR="002E0EB1" w:rsidRPr="002E0EB1" w14:paraId="242F1AF6" w14:textId="77777777" w:rsidTr="00145A75">
        <w:trPr>
          <w:trHeight w:val="270"/>
        </w:trPr>
        <w:tc>
          <w:tcPr>
            <w:tcW w:w="1400" w:type="dxa"/>
            <w:tcBorders>
              <w:top w:val="nil"/>
              <w:left w:val="single" w:sz="4" w:space="0" w:color="000000"/>
              <w:bottom w:val="single" w:sz="4" w:space="0" w:color="C0C0C0"/>
              <w:right w:val="single" w:sz="4" w:space="0" w:color="000080"/>
            </w:tcBorders>
            <w:shd w:val="clear" w:color="auto" w:fill="auto"/>
            <w:vAlign w:val="center"/>
            <w:hideMark/>
          </w:tcPr>
          <w:p w14:paraId="3F9C29E2" w14:textId="77777777" w:rsidR="002E0EB1" w:rsidRPr="002E0EB1" w:rsidRDefault="002E0EB1" w:rsidP="002E0EB1">
            <w:pPr>
              <w:rPr>
                <w:rFonts w:ascii="Arial" w:hAnsi="Arial" w:cs="Arial"/>
                <w:sz w:val="18"/>
                <w:szCs w:val="18"/>
              </w:rPr>
            </w:pPr>
            <w:r w:rsidRPr="002E0EB1">
              <w:rPr>
                <w:rFonts w:ascii="Arial" w:hAnsi="Arial" w:cs="Arial"/>
                <w:sz w:val="18"/>
                <w:szCs w:val="18"/>
              </w:rPr>
              <w:t xml:space="preserve"> </w:t>
            </w:r>
          </w:p>
        </w:tc>
        <w:tc>
          <w:tcPr>
            <w:tcW w:w="6380" w:type="dxa"/>
            <w:tcBorders>
              <w:top w:val="nil"/>
              <w:left w:val="nil"/>
              <w:bottom w:val="single" w:sz="4" w:space="0" w:color="C0C0C0"/>
              <w:right w:val="single" w:sz="4" w:space="0" w:color="000080"/>
            </w:tcBorders>
            <w:shd w:val="clear" w:color="auto" w:fill="auto"/>
            <w:vAlign w:val="center"/>
            <w:hideMark/>
          </w:tcPr>
          <w:p w14:paraId="64FF9D2A" w14:textId="77777777" w:rsidR="002E0EB1" w:rsidRPr="002E0EB1" w:rsidRDefault="002E0EB1" w:rsidP="002E0EB1">
            <w:pPr>
              <w:rPr>
                <w:rFonts w:ascii="Arial" w:hAnsi="Arial" w:cs="Arial"/>
                <w:sz w:val="18"/>
                <w:szCs w:val="18"/>
              </w:rPr>
            </w:pPr>
            <w:proofErr w:type="spellStart"/>
            <w:r w:rsidRPr="002E0EB1">
              <w:rPr>
                <w:rFonts w:ascii="Arial" w:hAnsi="Arial" w:cs="Arial"/>
                <w:sz w:val="18"/>
                <w:szCs w:val="18"/>
              </w:rPr>
              <w:t>Neproizvedena</w:t>
            </w:r>
            <w:proofErr w:type="spellEnd"/>
            <w:r w:rsidRPr="002E0EB1">
              <w:rPr>
                <w:rFonts w:ascii="Arial" w:hAnsi="Arial" w:cs="Arial"/>
                <w:sz w:val="18"/>
                <w:szCs w:val="18"/>
              </w:rPr>
              <w:t xml:space="preserve"> dugotrajna imovina</w:t>
            </w:r>
          </w:p>
        </w:tc>
        <w:tc>
          <w:tcPr>
            <w:tcW w:w="1340" w:type="dxa"/>
            <w:tcBorders>
              <w:top w:val="nil"/>
              <w:left w:val="nil"/>
              <w:bottom w:val="single" w:sz="4" w:space="0" w:color="C0C0C0"/>
              <w:right w:val="single" w:sz="4" w:space="0" w:color="000080"/>
            </w:tcBorders>
            <w:shd w:val="clear" w:color="auto" w:fill="auto"/>
            <w:vAlign w:val="center"/>
            <w:hideMark/>
          </w:tcPr>
          <w:p w14:paraId="3D3D51D7" w14:textId="77777777" w:rsidR="002E0EB1" w:rsidRPr="002E0EB1" w:rsidRDefault="002E0EB1" w:rsidP="002E0EB1">
            <w:pPr>
              <w:rPr>
                <w:rFonts w:ascii="Arial" w:hAnsi="Arial" w:cs="Arial"/>
                <w:b/>
                <w:bCs/>
                <w:sz w:val="18"/>
                <w:szCs w:val="18"/>
              </w:rPr>
            </w:pPr>
            <w:r w:rsidRPr="002E0EB1">
              <w:rPr>
                <w:rFonts w:ascii="Arial" w:hAnsi="Arial" w:cs="Arial"/>
                <w:b/>
                <w:bCs/>
                <w:sz w:val="18"/>
                <w:szCs w:val="18"/>
              </w:rPr>
              <w:t>P002</w:t>
            </w:r>
          </w:p>
        </w:tc>
        <w:tc>
          <w:tcPr>
            <w:tcW w:w="1540" w:type="dxa"/>
            <w:tcBorders>
              <w:top w:val="nil"/>
              <w:left w:val="nil"/>
              <w:bottom w:val="single" w:sz="4" w:space="0" w:color="C0C0C0"/>
              <w:right w:val="single" w:sz="4" w:space="0" w:color="000080"/>
            </w:tcBorders>
            <w:shd w:val="clear" w:color="auto" w:fill="auto"/>
            <w:noWrap/>
            <w:vAlign w:val="center"/>
            <w:hideMark/>
          </w:tcPr>
          <w:p w14:paraId="74796910" w14:textId="77777777" w:rsidR="002E0EB1" w:rsidRPr="002E0EB1" w:rsidRDefault="002E0EB1" w:rsidP="002E0EB1">
            <w:pPr>
              <w:jc w:val="right"/>
              <w:rPr>
                <w:rFonts w:ascii="Arial" w:hAnsi="Arial" w:cs="Arial"/>
                <w:color w:val="000000"/>
                <w:sz w:val="16"/>
                <w:szCs w:val="16"/>
              </w:rPr>
            </w:pPr>
            <w:r w:rsidRPr="002E0EB1">
              <w:rPr>
                <w:rFonts w:ascii="Arial" w:hAnsi="Arial" w:cs="Arial"/>
                <w:color w:val="000000"/>
                <w:sz w:val="16"/>
                <w:szCs w:val="16"/>
              </w:rPr>
              <w:t> </w:t>
            </w:r>
          </w:p>
        </w:tc>
        <w:tc>
          <w:tcPr>
            <w:tcW w:w="3657" w:type="dxa"/>
            <w:tcBorders>
              <w:top w:val="nil"/>
              <w:left w:val="nil"/>
              <w:bottom w:val="single" w:sz="4" w:space="0" w:color="C0C0C0"/>
              <w:right w:val="single" w:sz="4" w:space="0" w:color="000000"/>
            </w:tcBorders>
            <w:shd w:val="clear" w:color="auto" w:fill="auto"/>
            <w:noWrap/>
            <w:vAlign w:val="center"/>
            <w:hideMark/>
          </w:tcPr>
          <w:p w14:paraId="70C08159" w14:textId="77777777" w:rsidR="002E0EB1" w:rsidRPr="002E0EB1" w:rsidRDefault="002E0EB1" w:rsidP="002E0EB1">
            <w:pPr>
              <w:jc w:val="right"/>
              <w:rPr>
                <w:rFonts w:ascii="Arial" w:hAnsi="Arial" w:cs="Arial"/>
                <w:color w:val="000000"/>
                <w:sz w:val="16"/>
                <w:szCs w:val="16"/>
              </w:rPr>
            </w:pPr>
            <w:r w:rsidRPr="002E0EB1">
              <w:rPr>
                <w:rFonts w:ascii="Arial" w:hAnsi="Arial" w:cs="Arial"/>
                <w:color w:val="000000"/>
                <w:sz w:val="16"/>
                <w:szCs w:val="16"/>
              </w:rPr>
              <w:t>880.742,12</w:t>
            </w:r>
          </w:p>
        </w:tc>
      </w:tr>
      <w:tr w:rsidR="002E0EB1" w:rsidRPr="002E0EB1" w14:paraId="0491DAC3" w14:textId="77777777" w:rsidTr="00145A75">
        <w:trPr>
          <w:trHeight w:val="270"/>
        </w:trPr>
        <w:tc>
          <w:tcPr>
            <w:tcW w:w="1400" w:type="dxa"/>
            <w:tcBorders>
              <w:top w:val="nil"/>
              <w:left w:val="single" w:sz="4" w:space="0" w:color="000000"/>
              <w:bottom w:val="single" w:sz="4" w:space="0" w:color="C0C0C0"/>
              <w:right w:val="single" w:sz="4" w:space="0" w:color="000080"/>
            </w:tcBorders>
            <w:shd w:val="clear" w:color="auto" w:fill="auto"/>
            <w:vAlign w:val="center"/>
            <w:hideMark/>
          </w:tcPr>
          <w:p w14:paraId="3E2A0AF0" w14:textId="77777777" w:rsidR="002E0EB1" w:rsidRPr="002E0EB1" w:rsidRDefault="002E0EB1" w:rsidP="002E0EB1">
            <w:pPr>
              <w:rPr>
                <w:rFonts w:ascii="Arial" w:hAnsi="Arial" w:cs="Arial"/>
                <w:sz w:val="18"/>
                <w:szCs w:val="18"/>
              </w:rPr>
            </w:pPr>
            <w:r w:rsidRPr="002E0EB1">
              <w:rPr>
                <w:rFonts w:ascii="Arial" w:hAnsi="Arial" w:cs="Arial"/>
                <w:sz w:val="18"/>
                <w:szCs w:val="18"/>
              </w:rPr>
              <w:t xml:space="preserve"> </w:t>
            </w:r>
          </w:p>
        </w:tc>
        <w:tc>
          <w:tcPr>
            <w:tcW w:w="6380" w:type="dxa"/>
            <w:tcBorders>
              <w:top w:val="nil"/>
              <w:left w:val="nil"/>
              <w:bottom w:val="single" w:sz="4" w:space="0" w:color="C0C0C0"/>
              <w:right w:val="single" w:sz="4" w:space="0" w:color="000080"/>
            </w:tcBorders>
            <w:shd w:val="clear" w:color="auto" w:fill="auto"/>
            <w:vAlign w:val="center"/>
            <w:hideMark/>
          </w:tcPr>
          <w:p w14:paraId="6DF25C2C" w14:textId="77777777" w:rsidR="002E0EB1" w:rsidRPr="002E0EB1" w:rsidRDefault="002E0EB1" w:rsidP="002E0EB1">
            <w:pPr>
              <w:rPr>
                <w:rFonts w:ascii="Arial" w:hAnsi="Arial" w:cs="Arial"/>
                <w:sz w:val="18"/>
                <w:szCs w:val="18"/>
              </w:rPr>
            </w:pPr>
            <w:r w:rsidRPr="002E0EB1">
              <w:rPr>
                <w:rFonts w:ascii="Arial" w:hAnsi="Arial" w:cs="Arial"/>
                <w:sz w:val="18"/>
                <w:szCs w:val="18"/>
              </w:rPr>
              <w:t>Proizvedena dugotrajna imovina</w:t>
            </w:r>
          </w:p>
        </w:tc>
        <w:tc>
          <w:tcPr>
            <w:tcW w:w="1340" w:type="dxa"/>
            <w:tcBorders>
              <w:top w:val="nil"/>
              <w:left w:val="nil"/>
              <w:bottom w:val="single" w:sz="4" w:space="0" w:color="C0C0C0"/>
              <w:right w:val="single" w:sz="4" w:space="0" w:color="000080"/>
            </w:tcBorders>
            <w:shd w:val="clear" w:color="auto" w:fill="auto"/>
            <w:vAlign w:val="center"/>
            <w:hideMark/>
          </w:tcPr>
          <w:p w14:paraId="05C6ECAA" w14:textId="77777777" w:rsidR="002E0EB1" w:rsidRPr="002E0EB1" w:rsidRDefault="002E0EB1" w:rsidP="002E0EB1">
            <w:pPr>
              <w:rPr>
                <w:rFonts w:ascii="Arial" w:hAnsi="Arial" w:cs="Arial"/>
                <w:b/>
                <w:bCs/>
                <w:sz w:val="18"/>
                <w:szCs w:val="18"/>
              </w:rPr>
            </w:pPr>
            <w:r w:rsidRPr="002E0EB1">
              <w:rPr>
                <w:rFonts w:ascii="Arial" w:hAnsi="Arial" w:cs="Arial"/>
                <w:b/>
                <w:bCs/>
                <w:sz w:val="18"/>
                <w:szCs w:val="18"/>
              </w:rPr>
              <w:t>P003</w:t>
            </w:r>
          </w:p>
        </w:tc>
        <w:tc>
          <w:tcPr>
            <w:tcW w:w="1540" w:type="dxa"/>
            <w:tcBorders>
              <w:top w:val="nil"/>
              <w:left w:val="nil"/>
              <w:bottom w:val="single" w:sz="4" w:space="0" w:color="C0C0C0"/>
              <w:right w:val="single" w:sz="4" w:space="0" w:color="000080"/>
            </w:tcBorders>
            <w:shd w:val="clear" w:color="auto" w:fill="auto"/>
            <w:noWrap/>
            <w:vAlign w:val="center"/>
            <w:hideMark/>
          </w:tcPr>
          <w:p w14:paraId="3B71DFCB" w14:textId="77777777" w:rsidR="002E0EB1" w:rsidRPr="002E0EB1" w:rsidRDefault="002E0EB1" w:rsidP="002E0EB1">
            <w:pPr>
              <w:jc w:val="right"/>
              <w:rPr>
                <w:rFonts w:ascii="Arial" w:hAnsi="Arial" w:cs="Arial"/>
                <w:color w:val="000000"/>
                <w:sz w:val="16"/>
                <w:szCs w:val="16"/>
              </w:rPr>
            </w:pPr>
            <w:r w:rsidRPr="002E0EB1">
              <w:rPr>
                <w:rFonts w:ascii="Arial" w:hAnsi="Arial" w:cs="Arial"/>
                <w:color w:val="000000"/>
                <w:sz w:val="16"/>
                <w:szCs w:val="16"/>
              </w:rPr>
              <w:t> </w:t>
            </w:r>
          </w:p>
        </w:tc>
        <w:tc>
          <w:tcPr>
            <w:tcW w:w="3657" w:type="dxa"/>
            <w:tcBorders>
              <w:top w:val="nil"/>
              <w:left w:val="nil"/>
              <w:bottom w:val="single" w:sz="4" w:space="0" w:color="C0C0C0"/>
              <w:right w:val="single" w:sz="4" w:space="0" w:color="000000"/>
            </w:tcBorders>
            <w:shd w:val="clear" w:color="auto" w:fill="auto"/>
            <w:noWrap/>
            <w:vAlign w:val="center"/>
            <w:hideMark/>
          </w:tcPr>
          <w:p w14:paraId="1AA344C4" w14:textId="77777777" w:rsidR="002E0EB1" w:rsidRPr="002E0EB1" w:rsidRDefault="002E0EB1" w:rsidP="002E0EB1">
            <w:pPr>
              <w:jc w:val="right"/>
              <w:rPr>
                <w:rFonts w:ascii="Arial" w:hAnsi="Arial" w:cs="Arial"/>
                <w:color w:val="000000"/>
                <w:sz w:val="16"/>
                <w:szCs w:val="16"/>
              </w:rPr>
            </w:pPr>
            <w:r w:rsidRPr="002E0EB1">
              <w:rPr>
                <w:rFonts w:ascii="Arial" w:hAnsi="Arial" w:cs="Arial"/>
                <w:color w:val="000000"/>
                <w:sz w:val="16"/>
                <w:szCs w:val="16"/>
              </w:rPr>
              <w:t>7.296.707,20</w:t>
            </w:r>
          </w:p>
        </w:tc>
      </w:tr>
      <w:tr w:rsidR="002E0EB1" w:rsidRPr="002E0EB1" w14:paraId="5BF364AD" w14:textId="77777777" w:rsidTr="00145A75">
        <w:trPr>
          <w:trHeight w:val="270"/>
        </w:trPr>
        <w:tc>
          <w:tcPr>
            <w:tcW w:w="1400" w:type="dxa"/>
            <w:tcBorders>
              <w:top w:val="nil"/>
              <w:left w:val="single" w:sz="4" w:space="0" w:color="000000"/>
              <w:bottom w:val="single" w:sz="4" w:space="0" w:color="C0C0C0"/>
              <w:right w:val="single" w:sz="4" w:space="0" w:color="000080"/>
            </w:tcBorders>
            <w:shd w:val="clear" w:color="auto" w:fill="auto"/>
            <w:vAlign w:val="center"/>
            <w:hideMark/>
          </w:tcPr>
          <w:p w14:paraId="336423CB" w14:textId="77777777" w:rsidR="002E0EB1" w:rsidRPr="002E0EB1" w:rsidRDefault="002E0EB1" w:rsidP="002E0EB1">
            <w:pPr>
              <w:rPr>
                <w:rFonts w:ascii="Arial" w:hAnsi="Arial" w:cs="Arial"/>
                <w:sz w:val="18"/>
                <w:szCs w:val="18"/>
              </w:rPr>
            </w:pPr>
            <w:r w:rsidRPr="002E0EB1">
              <w:rPr>
                <w:rFonts w:ascii="Arial" w:hAnsi="Arial" w:cs="Arial"/>
                <w:sz w:val="18"/>
                <w:szCs w:val="18"/>
              </w:rPr>
              <w:t>91512</w:t>
            </w:r>
          </w:p>
        </w:tc>
        <w:tc>
          <w:tcPr>
            <w:tcW w:w="6380" w:type="dxa"/>
            <w:tcBorders>
              <w:top w:val="nil"/>
              <w:left w:val="nil"/>
              <w:bottom w:val="single" w:sz="4" w:space="0" w:color="C0C0C0"/>
              <w:right w:val="single" w:sz="4" w:space="0" w:color="000080"/>
            </w:tcBorders>
            <w:shd w:val="clear" w:color="auto" w:fill="auto"/>
            <w:vAlign w:val="center"/>
            <w:hideMark/>
          </w:tcPr>
          <w:p w14:paraId="23BDEEA7" w14:textId="77777777" w:rsidR="002E0EB1" w:rsidRPr="002E0EB1" w:rsidRDefault="002E0EB1" w:rsidP="002E0EB1">
            <w:pPr>
              <w:rPr>
                <w:rFonts w:ascii="Arial" w:hAnsi="Arial" w:cs="Arial"/>
                <w:sz w:val="18"/>
                <w:szCs w:val="18"/>
              </w:rPr>
            </w:pPr>
            <w:r w:rsidRPr="002E0EB1">
              <w:rPr>
                <w:rFonts w:ascii="Arial" w:hAnsi="Arial" w:cs="Arial"/>
                <w:sz w:val="18"/>
                <w:szCs w:val="18"/>
              </w:rPr>
              <w:t>Promjene u obujmu imovine (šifre P016+P023)</w:t>
            </w:r>
          </w:p>
        </w:tc>
        <w:tc>
          <w:tcPr>
            <w:tcW w:w="1340" w:type="dxa"/>
            <w:tcBorders>
              <w:top w:val="nil"/>
              <w:left w:val="nil"/>
              <w:bottom w:val="single" w:sz="4" w:space="0" w:color="C0C0C0"/>
              <w:right w:val="single" w:sz="4" w:space="0" w:color="000080"/>
            </w:tcBorders>
            <w:shd w:val="clear" w:color="auto" w:fill="auto"/>
            <w:vAlign w:val="center"/>
            <w:hideMark/>
          </w:tcPr>
          <w:p w14:paraId="48793038" w14:textId="77777777" w:rsidR="002E0EB1" w:rsidRPr="002E0EB1" w:rsidRDefault="002E0EB1" w:rsidP="002E0EB1">
            <w:pPr>
              <w:rPr>
                <w:rFonts w:ascii="Arial" w:hAnsi="Arial" w:cs="Arial"/>
                <w:b/>
                <w:bCs/>
                <w:sz w:val="18"/>
                <w:szCs w:val="18"/>
              </w:rPr>
            </w:pPr>
            <w:r w:rsidRPr="002E0EB1">
              <w:rPr>
                <w:rFonts w:ascii="Arial" w:hAnsi="Arial" w:cs="Arial"/>
                <w:b/>
                <w:bCs/>
                <w:sz w:val="18"/>
                <w:szCs w:val="18"/>
              </w:rPr>
              <w:t>91512</w:t>
            </w:r>
          </w:p>
        </w:tc>
        <w:tc>
          <w:tcPr>
            <w:tcW w:w="1540" w:type="dxa"/>
            <w:tcBorders>
              <w:top w:val="nil"/>
              <w:left w:val="nil"/>
              <w:bottom w:val="single" w:sz="4" w:space="0" w:color="C0C0C0"/>
              <w:right w:val="single" w:sz="4" w:space="0" w:color="000080"/>
            </w:tcBorders>
            <w:shd w:val="clear" w:color="auto" w:fill="auto"/>
            <w:noWrap/>
            <w:vAlign w:val="center"/>
            <w:hideMark/>
          </w:tcPr>
          <w:p w14:paraId="6C3BACFB" w14:textId="77777777" w:rsidR="002E0EB1" w:rsidRPr="002E0EB1" w:rsidRDefault="002E0EB1" w:rsidP="002E0EB1">
            <w:pPr>
              <w:jc w:val="right"/>
              <w:rPr>
                <w:rFonts w:ascii="Arial" w:hAnsi="Arial" w:cs="Arial"/>
                <w:b/>
                <w:bCs/>
                <w:color w:val="000080"/>
                <w:sz w:val="16"/>
                <w:szCs w:val="16"/>
              </w:rPr>
            </w:pPr>
            <w:r w:rsidRPr="002E0EB1">
              <w:rPr>
                <w:rFonts w:ascii="Arial" w:hAnsi="Arial" w:cs="Arial"/>
                <w:b/>
                <w:bCs/>
                <w:color w:val="000080"/>
                <w:sz w:val="16"/>
                <w:szCs w:val="16"/>
              </w:rPr>
              <w:t>0,00</w:t>
            </w:r>
          </w:p>
        </w:tc>
        <w:tc>
          <w:tcPr>
            <w:tcW w:w="3657" w:type="dxa"/>
            <w:tcBorders>
              <w:top w:val="nil"/>
              <w:left w:val="nil"/>
              <w:bottom w:val="single" w:sz="4" w:space="0" w:color="C0C0C0"/>
              <w:right w:val="single" w:sz="4" w:space="0" w:color="000000"/>
            </w:tcBorders>
            <w:shd w:val="clear" w:color="auto" w:fill="auto"/>
            <w:noWrap/>
            <w:vAlign w:val="center"/>
            <w:hideMark/>
          </w:tcPr>
          <w:p w14:paraId="486814D1" w14:textId="77777777" w:rsidR="002E0EB1" w:rsidRPr="002E0EB1" w:rsidRDefault="002E0EB1" w:rsidP="002E0EB1">
            <w:pPr>
              <w:jc w:val="right"/>
              <w:rPr>
                <w:rFonts w:ascii="Arial" w:hAnsi="Arial" w:cs="Arial"/>
                <w:b/>
                <w:bCs/>
                <w:color w:val="000080"/>
                <w:sz w:val="16"/>
                <w:szCs w:val="16"/>
              </w:rPr>
            </w:pPr>
            <w:r w:rsidRPr="002E0EB1">
              <w:rPr>
                <w:rFonts w:ascii="Arial" w:hAnsi="Arial" w:cs="Arial"/>
                <w:b/>
                <w:bCs/>
                <w:color w:val="000080"/>
                <w:sz w:val="16"/>
                <w:szCs w:val="16"/>
              </w:rPr>
              <w:t>1.043.966,43</w:t>
            </w:r>
          </w:p>
        </w:tc>
      </w:tr>
      <w:tr w:rsidR="002E0EB1" w:rsidRPr="002E0EB1" w14:paraId="0A3D1B88" w14:textId="77777777" w:rsidTr="00145A75">
        <w:trPr>
          <w:trHeight w:val="270"/>
        </w:trPr>
        <w:tc>
          <w:tcPr>
            <w:tcW w:w="1400" w:type="dxa"/>
            <w:tcBorders>
              <w:top w:val="nil"/>
              <w:left w:val="single" w:sz="4" w:space="0" w:color="000000"/>
              <w:bottom w:val="single" w:sz="4" w:space="0" w:color="C0C0C0"/>
              <w:right w:val="single" w:sz="4" w:space="0" w:color="000080"/>
            </w:tcBorders>
            <w:shd w:val="clear" w:color="auto" w:fill="auto"/>
            <w:vAlign w:val="center"/>
            <w:hideMark/>
          </w:tcPr>
          <w:p w14:paraId="236A1704" w14:textId="77777777" w:rsidR="002E0EB1" w:rsidRPr="002E0EB1" w:rsidRDefault="002E0EB1" w:rsidP="002E0EB1">
            <w:pPr>
              <w:rPr>
                <w:rFonts w:ascii="Arial" w:hAnsi="Arial" w:cs="Arial"/>
                <w:sz w:val="18"/>
                <w:szCs w:val="18"/>
              </w:rPr>
            </w:pPr>
            <w:r w:rsidRPr="002E0EB1">
              <w:rPr>
                <w:rFonts w:ascii="Arial" w:hAnsi="Arial" w:cs="Arial"/>
                <w:sz w:val="18"/>
                <w:szCs w:val="18"/>
              </w:rPr>
              <w:t xml:space="preserve"> </w:t>
            </w:r>
          </w:p>
        </w:tc>
        <w:tc>
          <w:tcPr>
            <w:tcW w:w="6380" w:type="dxa"/>
            <w:tcBorders>
              <w:top w:val="nil"/>
              <w:left w:val="nil"/>
              <w:bottom w:val="single" w:sz="4" w:space="0" w:color="C0C0C0"/>
              <w:right w:val="single" w:sz="4" w:space="0" w:color="000080"/>
            </w:tcBorders>
            <w:shd w:val="clear" w:color="auto" w:fill="auto"/>
            <w:vAlign w:val="center"/>
            <w:hideMark/>
          </w:tcPr>
          <w:p w14:paraId="3801C9F2" w14:textId="77777777" w:rsidR="002E0EB1" w:rsidRPr="002E0EB1" w:rsidRDefault="002E0EB1" w:rsidP="002E0EB1">
            <w:pPr>
              <w:rPr>
                <w:rFonts w:ascii="Arial" w:hAnsi="Arial" w:cs="Arial"/>
                <w:sz w:val="18"/>
                <w:szCs w:val="18"/>
              </w:rPr>
            </w:pPr>
            <w:r w:rsidRPr="002E0EB1">
              <w:rPr>
                <w:rFonts w:ascii="Arial" w:hAnsi="Arial" w:cs="Arial"/>
                <w:sz w:val="18"/>
                <w:szCs w:val="18"/>
              </w:rPr>
              <w:t>Promjene u obujmu nefinancijske imovine (šifre P017 do P022)</w:t>
            </w:r>
          </w:p>
        </w:tc>
        <w:tc>
          <w:tcPr>
            <w:tcW w:w="1340" w:type="dxa"/>
            <w:tcBorders>
              <w:top w:val="nil"/>
              <w:left w:val="nil"/>
              <w:bottom w:val="single" w:sz="4" w:space="0" w:color="C0C0C0"/>
              <w:right w:val="single" w:sz="4" w:space="0" w:color="000080"/>
            </w:tcBorders>
            <w:shd w:val="clear" w:color="auto" w:fill="auto"/>
            <w:vAlign w:val="center"/>
            <w:hideMark/>
          </w:tcPr>
          <w:p w14:paraId="37AD2C6B" w14:textId="77777777" w:rsidR="002E0EB1" w:rsidRPr="002E0EB1" w:rsidRDefault="002E0EB1" w:rsidP="002E0EB1">
            <w:pPr>
              <w:rPr>
                <w:rFonts w:ascii="Arial" w:hAnsi="Arial" w:cs="Arial"/>
                <w:b/>
                <w:bCs/>
                <w:sz w:val="18"/>
                <w:szCs w:val="18"/>
              </w:rPr>
            </w:pPr>
            <w:r w:rsidRPr="002E0EB1">
              <w:rPr>
                <w:rFonts w:ascii="Arial" w:hAnsi="Arial" w:cs="Arial"/>
                <w:b/>
                <w:bCs/>
                <w:sz w:val="18"/>
                <w:szCs w:val="18"/>
              </w:rPr>
              <w:t>P016</w:t>
            </w:r>
          </w:p>
        </w:tc>
        <w:tc>
          <w:tcPr>
            <w:tcW w:w="1540" w:type="dxa"/>
            <w:tcBorders>
              <w:top w:val="nil"/>
              <w:left w:val="nil"/>
              <w:bottom w:val="single" w:sz="4" w:space="0" w:color="C0C0C0"/>
              <w:right w:val="single" w:sz="4" w:space="0" w:color="000080"/>
            </w:tcBorders>
            <w:shd w:val="clear" w:color="auto" w:fill="auto"/>
            <w:noWrap/>
            <w:vAlign w:val="center"/>
            <w:hideMark/>
          </w:tcPr>
          <w:p w14:paraId="098DE71B" w14:textId="77777777" w:rsidR="002E0EB1" w:rsidRPr="002E0EB1" w:rsidRDefault="002E0EB1" w:rsidP="002E0EB1">
            <w:pPr>
              <w:jc w:val="right"/>
              <w:rPr>
                <w:rFonts w:ascii="Arial" w:hAnsi="Arial" w:cs="Arial"/>
                <w:b/>
                <w:bCs/>
                <w:color w:val="000080"/>
                <w:sz w:val="16"/>
                <w:szCs w:val="16"/>
              </w:rPr>
            </w:pPr>
            <w:r w:rsidRPr="002E0EB1">
              <w:rPr>
                <w:rFonts w:ascii="Arial" w:hAnsi="Arial" w:cs="Arial"/>
                <w:b/>
                <w:bCs/>
                <w:color w:val="000080"/>
                <w:sz w:val="16"/>
                <w:szCs w:val="16"/>
              </w:rPr>
              <w:t>0,00</w:t>
            </w:r>
          </w:p>
        </w:tc>
        <w:tc>
          <w:tcPr>
            <w:tcW w:w="3657" w:type="dxa"/>
            <w:tcBorders>
              <w:top w:val="nil"/>
              <w:left w:val="nil"/>
              <w:bottom w:val="single" w:sz="4" w:space="0" w:color="C0C0C0"/>
              <w:right w:val="single" w:sz="4" w:space="0" w:color="000000"/>
            </w:tcBorders>
            <w:shd w:val="clear" w:color="auto" w:fill="auto"/>
            <w:noWrap/>
            <w:vAlign w:val="center"/>
            <w:hideMark/>
          </w:tcPr>
          <w:p w14:paraId="23E7AF4E" w14:textId="77777777" w:rsidR="002E0EB1" w:rsidRPr="002E0EB1" w:rsidRDefault="002E0EB1" w:rsidP="002E0EB1">
            <w:pPr>
              <w:jc w:val="right"/>
              <w:rPr>
                <w:rFonts w:ascii="Arial" w:hAnsi="Arial" w:cs="Arial"/>
                <w:b/>
                <w:bCs/>
                <w:color w:val="000080"/>
                <w:sz w:val="16"/>
                <w:szCs w:val="16"/>
              </w:rPr>
            </w:pPr>
            <w:r w:rsidRPr="002E0EB1">
              <w:rPr>
                <w:rFonts w:ascii="Arial" w:hAnsi="Arial" w:cs="Arial"/>
                <w:b/>
                <w:bCs/>
                <w:color w:val="000080"/>
                <w:sz w:val="16"/>
                <w:szCs w:val="16"/>
              </w:rPr>
              <w:t>1.043.966,43</w:t>
            </w:r>
          </w:p>
        </w:tc>
      </w:tr>
      <w:tr w:rsidR="002E0EB1" w:rsidRPr="002E0EB1" w14:paraId="4417EE3E" w14:textId="77777777" w:rsidTr="00145A75">
        <w:trPr>
          <w:trHeight w:val="270"/>
        </w:trPr>
        <w:tc>
          <w:tcPr>
            <w:tcW w:w="1400" w:type="dxa"/>
            <w:tcBorders>
              <w:top w:val="nil"/>
              <w:left w:val="single" w:sz="4" w:space="0" w:color="000000"/>
              <w:bottom w:val="single" w:sz="4" w:space="0" w:color="C0C0C0"/>
              <w:right w:val="single" w:sz="4" w:space="0" w:color="000080"/>
            </w:tcBorders>
            <w:shd w:val="clear" w:color="auto" w:fill="auto"/>
            <w:vAlign w:val="center"/>
            <w:hideMark/>
          </w:tcPr>
          <w:p w14:paraId="6555DBDD" w14:textId="77777777" w:rsidR="002E0EB1" w:rsidRPr="002E0EB1" w:rsidRDefault="002E0EB1" w:rsidP="002E0EB1">
            <w:pPr>
              <w:rPr>
                <w:rFonts w:ascii="Arial" w:hAnsi="Arial" w:cs="Arial"/>
                <w:sz w:val="18"/>
                <w:szCs w:val="18"/>
              </w:rPr>
            </w:pPr>
            <w:r w:rsidRPr="002E0EB1">
              <w:rPr>
                <w:rFonts w:ascii="Arial" w:hAnsi="Arial" w:cs="Arial"/>
                <w:sz w:val="18"/>
                <w:szCs w:val="18"/>
              </w:rPr>
              <w:t xml:space="preserve"> </w:t>
            </w:r>
          </w:p>
        </w:tc>
        <w:tc>
          <w:tcPr>
            <w:tcW w:w="6380" w:type="dxa"/>
            <w:tcBorders>
              <w:top w:val="nil"/>
              <w:left w:val="nil"/>
              <w:bottom w:val="single" w:sz="4" w:space="0" w:color="C0C0C0"/>
              <w:right w:val="single" w:sz="4" w:space="0" w:color="000080"/>
            </w:tcBorders>
            <w:shd w:val="clear" w:color="auto" w:fill="auto"/>
            <w:vAlign w:val="center"/>
            <w:hideMark/>
          </w:tcPr>
          <w:p w14:paraId="29E0949D" w14:textId="77777777" w:rsidR="002E0EB1" w:rsidRPr="002E0EB1" w:rsidRDefault="002E0EB1" w:rsidP="002E0EB1">
            <w:pPr>
              <w:rPr>
                <w:rFonts w:ascii="Arial" w:hAnsi="Arial" w:cs="Arial"/>
                <w:sz w:val="18"/>
                <w:szCs w:val="18"/>
              </w:rPr>
            </w:pPr>
            <w:proofErr w:type="spellStart"/>
            <w:r w:rsidRPr="002E0EB1">
              <w:rPr>
                <w:rFonts w:ascii="Arial" w:hAnsi="Arial" w:cs="Arial"/>
                <w:sz w:val="18"/>
                <w:szCs w:val="18"/>
              </w:rPr>
              <w:t>Neproizvedena</w:t>
            </w:r>
            <w:proofErr w:type="spellEnd"/>
            <w:r w:rsidRPr="002E0EB1">
              <w:rPr>
                <w:rFonts w:ascii="Arial" w:hAnsi="Arial" w:cs="Arial"/>
                <w:sz w:val="18"/>
                <w:szCs w:val="18"/>
              </w:rPr>
              <w:t xml:space="preserve"> dugotrajna imovina</w:t>
            </w:r>
          </w:p>
        </w:tc>
        <w:tc>
          <w:tcPr>
            <w:tcW w:w="1340" w:type="dxa"/>
            <w:tcBorders>
              <w:top w:val="nil"/>
              <w:left w:val="nil"/>
              <w:bottom w:val="single" w:sz="4" w:space="0" w:color="C0C0C0"/>
              <w:right w:val="single" w:sz="4" w:space="0" w:color="000080"/>
            </w:tcBorders>
            <w:shd w:val="clear" w:color="auto" w:fill="auto"/>
            <w:vAlign w:val="center"/>
            <w:hideMark/>
          </w:tcPr>
          <w:p w14:paraId="27B21105" w14:textId="77777777" w:rsidR="002E0EB1" w:rsidRPr="002E0EB1" w:rsidRDefault="002E0EB1" w:rsidP="002E0EB1">
            <w:pPr>
              <w:rPr>
                <w:rFonts w:ascii="Arial" w:hAnsi="Arial" w:cs="Arial"/>
                <w:b/>
                <w:bCs/>
                <w:sz w:val="18"/>
                <w:szCs w:val="18"/>
              </w:rPr>
            </w:pPr>
            <w:r w:rsidRPr="002E0EB1">
              <w:rPr>
                <w:rFonts w:ascii="Arial" w:hAnsi="Arial" w:cs="Arial"/>
                <w:b/>
                <w:bCs/>
                <w:sz w:val="18"/>
                <w:szCs w:val="18"/>
              </w:rPr>
              <w:t>P017</w:t>
            </w:r>
          </w:p>
        </w:tc>
        <w:tc>
          <w:tcPr>
            <w:tcW w:w="1540" w:type="dxa"/>
            <w:tcBorders>
              <w:top w:val="nil"/>
              <w:left w:val="nil"/>
              <w:bottom w:val="single" w:sz="4" w:space="0" w:color="C0C0C0"/>
              <w:right w:val="single" w:sz="4" w:space="0" w:color="000080"/>
            </w:tcBorders>
            <w:shd w:val="clear" w:color="auto" w:fill="auto"/>
            <w:noWrap/>
            <w:vAlign w:val="center"/>
            <w:hideMark/>
          </w:tcPr>
          <w:p w14:paraId="7543B951" w14:textId="77777777" w:rsidR="002E0EB1" w:rsidRPr="002E0EB1" w:rsidRDefault="002E0EB1" w:rsidP="002E0EB1">
            <w:pPr>
              <w:jc w:val="right"/>
              <w:rPr>
                <w:rFonts w:ascii="Arial" w:hAnsi="Arial" w:cs="Arial"/>
                <w:color w:val="000000"/>
                <w:sz w:val="16"/>
                <w:szCs w:val="16"/>
              </w:rPr>
            </w:pPr>
            <w:r w:rsidRPr="002E0EB1">
              <w:rPr>
                <w:rFonts w:ascii="Arial" w:hAnsi="Arial" w:cs="Arial"/>
                <w:color w:val="000000"/>
                <w:sz w:val="16"/>
                <w:szCs w:val="16"/>
              </w:rPr>
              <w:t> </w:t>
            </w:r>
          </w:p>
        </w:tc>
        <w:tc>
          <w:tcPr>
            <w:tcW w:w="3657" w:type="dxa"/>
            <w:tcBorders>
              <w:top w:val="nil"/>
              <w:left w:val="nil"/>
              <w:bottom w:val="single" w:sz="4" w:space="0" w:color="C0C0C0"/>
              <w:right w:val="single" w:sz="4" w:space="0" w:color="000000"/>
            </w:tcBorders>
            <w:shd w:val="clear" w:color="auto" w:fill="auto"/>
            <w:noWrap/>
            <w:vAlign w:val="center"/>
            <w:hideMark/>
          </w:tcPr>
          <w:p w14:paraId="422943B9" w14:textId="77777777" w:rsidR="002E0EB1" w:rsidRPr="002E0EB1" w:rsidRDefault="002E0EB1" w:rsidP="002E0EB1">
            <w:pPr>
              <w:jc w:val="right"/>
              <w:rPr>
                <w:rFonts w:ascii="Arial" w:hAnsi="Arial" w:cs="Arial"/>
                <w:color w:val="000000"/>
                <w:sz w:val="16"/>
                <w:szCs w:val="16"/>
              </w:rPr>
            </w:pPr>
            <w:r w:rsidRPr="002E0EB1">
              <w:rPr>
                <w:rFonts w:ascii="Arial" w:hAnsi="Arial" w:cs="Arial"/>
                <w:color w:val="000000"/>
                <w:sz w:val="16"/>
                <w:szCs w:val="16"/>
              </w:rPr>
              <w:t>250.880,69</w:t>
            </w:r>
          </w:p>
        </w:tc>
      </w:tr>
      <w:tr w:rsidR="002E0EB1" w:rsidRPr="002E0EB1" w14:paraId="5518AC11" w14:textId="77777777" w:rsidTr="00145A75">
        <w:trPr>
          <w:trHeight w:val="270"/>
        </w:trPr>
        <w:tc>
          <w:tcPr>
            <w:tcW w:w="1400" w:type="dxa"/>
            <w:tcBorders>
              <w:top w:val="nil"/>
              <w:left w:val="single" w:sz="4" w:space="0" w:color="000000"/>
              <w:bottom w:val="single" w:sz="4" w:space="0" w:color="C0C0C0"/>
              <w:right w:val="single" w:sz="4" w:space="0" w:color="000080"/>
            </w:tcBorders>
            <w:shd w:val="clear" w:color="auto" w:fill="auto"/>
            <w:vAlign w:val="center"/>
            <w:hideMark/>
          </w:tcPr>
          <w:p w14:paraId="651B98C9" w14:textId="77777777" w:rsidR="002E0EB1" w:rsidRPr="002E0EB1" w:rsidRDefault="002E0EB1" w:rsidP="002E0EB1">
            <w:pPr>
              <w:rPr>
                <w:rFonts w:ascii="Arial" w:hAnsi="Arial" w:cs="Arial"/>
                <w:sz w:val="18"/>
                <w:szCs w:val="18"/>
              </w:rPr>
            </w:pPr>
            <w:r w:rsidRPr="002E0EB1">
              <w:rPr>
                <w:rFonts w:ascii="Arial" w:hAnsi="Arial" w:cs="Arial"/>
                <w:sz w:val="18"/>
                <w:szCs w:val="18"/>
              </w:rPr>
              <w:t xml:space="preserve"> </w:t>
            </w:r>
          </w:p>
        </w:tc>
        <w:tc>
          <w:tcPr>
            <w:tcW w:w="6380" w:type="dxa"/>
            <w:tcBorders>
              <w:top w:val="nil"/>
              <w:left w:val="nil"/>
              <w:bottom w:val="single" w:sz="4" w:space="0" w:color="C0C0C0"/>
              <w:right w:val="single" w:sz="4" w:space="0" w:color="000080"/>
            </w:tcBorders>
            <w:shd w:val="clear" w:color="auto" w:fill="auto"/>
            <w:vAlign w:val="center"/>
            <w:hideMark/>
          </w:tcPr>
          <w:p w14:paraId="6EC1562C" w14:textId="77777777" w:rsidR="002E0EB1" w:rsidRPr="002E0EB1" w:rsidRDefault="002E0EB1" w:rsidP="002E0EB1">
            <w:pPr>
              <w:rPr>
                <w:rFonts w:ascii="Arial" w:hAnsi="Arial" w:cs="Arial"/>
                <w:sz w:val="18"/>
                <w:szCs w:val="18"/>
              </w:rPr>
            </w:pPr>
            <w:r w:rsidRPr="002E0EB1">
              <w:rPr>
                <w:rFonts w:ascii="Arial" w:hAnsi="Arial" w:cs="Arial"/>
                <w:sz w:val="18"/>
                <w:szCs w:val="18"/>
              </w:rPr>
              <w:t>Proizvedena dugotrajna imovina</w:t>
            </w:r>
          </w:p>
        </w:tc>
        <w:tc>
          <w:tcPr>
            <w:tcW w:w="1340" w:type="dxa"/>
            <w:tcBorders>
              <w:top w:val="nil"/>
              <w:left w:val="nil"/>
              <w:bottom w:val="single" w:sz="4" w:space="0" w:color="C0C0C0"/>
              <w:right w:val="single" w:sz="4" w:space="0" w:color="000080"/>
            </w:tcBorders>
            <w:shd w:val="clear" w:color="auto" w:fill="auto"/>
            <w:vAlign w:val="center"/>
            <w:hideMark/>
          </w:tcPr>
          <w:p w14:paraId="0A13B931" w14:textId="77777777" w:rsidR="002E0EB1" w:rsidRPr="002E0EB1" w:rsidRDefault="002E0EB1" w:rsidP="002E0EB1">
            <w:pPr>
              <w:rPr>
                <w:rFonts w:ascii="Arial" w:hAnsi="Arial" w:cs="Arial"/>
                <w:b/>
                <w:bCs/>
                <w:sz w:val="18"/>
                <w:szCs w:val="18"/>
              </w:rPr>
            </w:pPr>
            <w:r w:rsidRPr="002E0EB1">
              <w:rPr>
                <w:rFonts w:ascii="Arial" w:hAnsi="Arial" w:cs="Arial"/>
                <w:b/>
                <w:bCs/>
                <w:sz w:val="18"/>
                <w:szCs w:val="18"/>
              </w:rPr>
              <w:t>P018</w:t>
            </w:r>
          </w:p>
        </w:tc>
        <w:tc>
          <w:tcPr>
            <w:tcW w:w="1540" w:type="dxa"/>
            <w:tcBorders>
              <w:top w:val="nil"/>
              <w:left w:val="nil"/>
              <w:bottom w:val="single" w:sz="4" w:space="0" w:color="C0C0C0"/>
              <w:right w:val="single" w:sz="4" w:space="0" w:color="000080"/>
            </w:tcBorders>
            <w:shd w:val="clear" w:color="auto" w:fill="auto"/>
            <w:noWrap/>
            <w:vAlign w:val="center"/>
            <w:hideMark/>
          </w:tcPr>
          <w:p w14:paraId="31B45329" w14:textId="77777777" w:rsidR="002E0EB1" w:rsidRPr="002E0EB1" w:rsidRDefault="002E0EB1" w:rsidP="002E0EB1">
            <w:pPr>
              <w:jc w:val="right"/>
              <w:rPr>
                <w:rFonts w:ascii="Arial" w:hAnsi="Arial" w:cs="Arial"/>
                <w:color w:val="000000"/>
                <w:sz w:val="16"/>
                <w:szCs w:val="16"/>
              </w:rPr>
            </w:pPr>
            <w:r w:rsidRPr="002E0EB1">
              <w:rPr>
                <w:rFonts w:ascii="Arial" w:hAnsi="Arial" w:cs="Arial"/>
                <w:color w:val="000000"/>
                <w:sz w:val="16"/>
                <w:szCs w:val="16"/>
              </w:rPr>
              <w:t> </w:t>
            </w:r>
          </w:p>
        </w:tc>
        <w:tc>
          <w:tcPr>
            <w:tcW w:w="3657" w:type="dxa"/>
            <w:tcBorders>
              <w:top w:val="nil"/>
              <w:left w:val="nil"/>
              <w:bottom w:val="single" w:sz="4" w:space="0" w:color="C0C0C0"/>
              <w:right w:val="single" w:sz="4" w:space="0" w:color="000000"/>
            </w:tcBorders>
            <w:shd w:val="clear" w:color="auto" w:fill="auto"/>
            <w:noWrap/>
            <w:vAlign w:val="center"/>
            <w:hideMark/>
          </w:tcPr>
          <w:p w14:paraId="6DE714DF" w14:textId="77777777" w:rsidR="002E0EB1" w:rsidRPr="002E0EB1" w:rsidRDefault="002E0EB1" w:rsidP="002E0EB1">
            <w:pPr>
              <w:jc w:val="right"/>
              <w:rPr>
                <w:rFonts w:ascii="Arial" w:hAnsi="Arial" w:cs="Arial"/>
                <w:color w:val="000000"/>
                <w:sz w:val="16"/>
                <w:szCs w:val="16"/>
              </w:rPr>
            </w:pPr>
            <w:r w:rsidRPr="002E0EB1">
              <w:rPr>
                <w:rFonts w:ascii="Arial" w:hAnsi="Arial" w:cs="Arial"/>
                <w:color w:val="000000"/>
                <w:sz w:val="16"/>
                <w:szCs w:val="16"/>
              </w:rPr>
              <w:t>793.085,74</w:t>
            </w:r>
          </w:p>
        </w:tc>
      </w:tr>
    </w:tbl>
    <w:p w14:paraId="4FDE7956" w14:textId="1B099383" w:rsidR="00E80CD3" w:rsidRDefault="00E80CD3" w:rsidP="00EF490C">
      <w:pPr>
        <w:spacing w:after="160" w:line="259" w:lineRule="auto"/>
        <w:ind w:left="-142"/>
        <w:jc w:val="both"/>
        <w:rPr>
          <w:rFonts w:ascii="Calibri" w:hAnsi="Calibri"/>
          <w:sz w:val="22"/>
          <w:szCs w:val="22"/>
        </w:rPr>
      </w:pPr>
    </w:p>
    <w:p w14:paraId="596CC0B6" w14:textId="592058E4" w:rsidR="00E80CD3" w:rsidRDefault="00E80CD3" w:rsidP="00EF490C">
      <w:pPr>
        <w:spacing w:after="160" w:line="259" w:lineRule="auto"/>
        <w:ind w:left="-142"/>
        <w:jc w:val="both"/>
        <w:rPr>
          <w:rFonts w:ascii="Calibri" w:hAnsi="Calibri"/>
          <w:sz w:val="22"/>
          <w:szCs w:val="22"/>
        </w:rPr>
      </w:pPr>
    </w:p>
    <w:p w14:paraId="48FF098E" w14:textId="026B7971" w:rsidR="00E80CD3" w:rsidRDefault="00E80CD3" w:rsidP="00EF490C">
      <w:pPr>
        <w:spacing w:after="160" w:line="259" w:lineRule="auto"/>
        <w:ind w:left="-142"/>
        <w:jc w:val="both"/>
        <w:rPr>
          <w:rFonts w:ascii="Calibri" w:hAnsi="Calibri"/>
          <w:sz w:val="22"/>
          <w:szCs w:val="22"/>
        </w:rPr>
      </w:pPr>
    </w:p>
    <w:p w14:paraId="35CD86BD" w14:textId="77777777" w:rsidR="00E80CD3" w:rsidRPr="00E80CD3" w:rsidRDefault="00E80CD3" w:rsidP="00E80CD3">
      <w:pPr>
        <w:rPr>
          <w:rFonts w:ascii="Calibri" w:hAnsi="Calibri"/>
          <w:sz w:val="22"/>
          <w:szCs w:val="22"/>
        </w:rPr>
      </w:pPr>
    </w:p>
    <w:p w14:paraId="073FF0D3" w14:textId="77777777" w:rsidR="00E80CD3" w:rsidRPr="00E80CD3" w:rsidRDefault="00E80CD3" w:rsidP="00E80CD3">
      <w:pPr>
        <w:rPr>
          <w:rFonts w:ascii="Calibri" w:hAnsi="Calibri"/>
          <w:sz w:val="22"/>
          <w:szCs w:val="22"/>
        </w:rPr>
      </w:pPr>
    </w:p>
    <w:p w14:paraId="064D400C" w14:textId="77777777" w:rsidR="00E80CD3" w:rsidRPr="00E80CD3" w:rsidRDefault="00E80CD3" w:rsidP="00E80CD3">
      <w:pPr>
        <w:rPr>
          <w:rFonts w:ascii="Calibri" w:hAnsi="Calibri"/>
          <w:sz w:val="22"/>
          <w:szCs w:val="22"/>
        </w:rPr>
      </w:pPr>
    </w:p>
    <w:p w14:paraId="536E4CAD" w14:textId="77777777" w:rsidR="00E80CD3" w:rsidRPr="00E80CD3" w:rsidRDefault="00E80CD3" w:rsidP="00E80CD3">
      <w:pPr>
        <w:rPr>
          <w:rFonts w:ascii="Calibri" w:hAnsi="Calibri"/>
          <w:sz w:val="22"/>
          <w:szCs w:val="22"/>
        </w:rPr>
      </w:pPr>
    </w:p>
    <w:p w14:paraId="60DA8321" w14:textId="77777777" w:rsidR="00E80CD3" w:rsidRPr="00E80CD3" w:rsidRDefault="00E80CD3" w:rsidP="00E80CD3">
      <w:pPr>
        <w:rPr>
          <w:rFonts w:ascii="Calibri" w:hAnsi="Calibri"/>
          <w:sz w:val="22"/>
          <w:szCs w:val="22"/>
        </w:rPr>
      </w:pPr>
    </w:p>
    <w:p w14:paraId="3226B881" w14:textId="77777777" w:rsidR="00E80CD3" w:rsidRPr="00E80CD3" w:rsidRDefault="00E80CD3" w:rsidP="00E80CD3">
      <w:pPr>
        <w:rPr>
          <w:rFonts w:ascii="Calibri" w:hAnsi="Calibri"/>
          <w:sz w:val="22"/>
          <w:szCs w:val="22"/>
        </w:rPr>
      </w:pPr>
    </w:p>
    <w:p w14:paraId="7A585FA8" w14:textId="77777777" w:rsidR="00E80CD3" w:rsidRPr="00E80CD3" w:rsidRDefault="00E80CD3" w:rsidP="00E80CD3">
      <w:pPr>
        <w:rPr>
          <w:rFonts w:ascii="Calibri" w:hAnsi="Calibri"/>
          <w:sz w:val="22"/>
          <w:szCs w:val="22"/>
        </w:rPr>
      </w:pPr>
    </w:p>
    <w:p w14:paraId="14F9C28E" w14:textId="5D4C252D" w:rsidR="00E80CD3" w:rsidRPr="00E80CD3" w:rsidRDefault="00E80CD3" w:rsidP="00E80CD3">
      <w:pPr>
        <w:rPr>
          <w:rFonts w:ascii="Calibri" w:hAnsi="Calibri"/>
          <w:sz w:val="22"/>
          <w:szCs w:val="22"/>
        </w:rPr>
      </w:pPr>
    </w:p>
    <w:p w14:paraId="1E5E1D12" w14:textId="77777777" w:rsidR="00E80CD3" w:rsidRPr="00E80CD3" w:rsidRDefault="00E80CD3" w:rsidP="00E80CD3">
      <w:pPr>
        <w:rPr>
          <w:rFonts w:ascii="Calibri" w:hAnsi="Calibri"/>
          <w:sz w:val="22"/>
          <w:szCs w:val="22"/>
        </w:rPr>
      </w:pPr>
    </w:p>
    <w:p w14:paraId="701EA60F" w14:textId="0BF8AAFE" w:rsidR="00E80CD3" w:rsidRDefault="00E80CD3" w:rsidP="00E80CD3">
      <w:pPr>
        <w:rPr>
          <w:rFonts w:ascii="Calibri" w:hAnsi="Calibri"/>
          <w:sz w:val="22"/>
          <w:szCs w:val="22"/>
        </w:rPr>
      </w:pPr>
    </w:p>
    <w:p w14:paraId="462F7CBC" w14:textId="77777777" w:rsidR="00E80CD3" w:rsidRDefault="00E80CD3" w:rsidP="00E80CD3">
      <w:pPr>
        <w:tabs>
          <w:tab w:val="left" w:pos="1170"/>
        </w:tabs>
        <w:rPr>
          <w:rFonts w:ascii="Calibri" w:hAnsi="Calibri"/>
          <w:sz w:val="22"/>
          <w:szCs w:val="22"/>
        </w:rPr>
        <w:sectPr w:rsidR="00E80CD3" w:rsidSect="008A386B">
          <w:footerReference w:type="first" r:id="rId13"/>
          <w:pgSz w:w="16840" w:h="11907" w:orient="landscape" w:code="9"/>
          <w:pgMar w:top="1440" w:right="851" w:bottom="1134" w:left="1276" w:header="709" w:footer="699" w:gutter="0"/>
          <w:pgNumType w:start="94"/>
          <w:cols w:space="708"/>
          <w:titlePg/>
          <w:docGrid w:linePitch="360"/>
        </w:sectPr>
      </w:pPr>
      <w:r>
        <w:rPr>
          <w:rFonts w:ascii="Calibri" w:hAnsi="Calibri"/>
          <w:sz w:val="22"/>
          <w:szCs w:val="22"/>
        </w:rPr>
        <w:tab/>
      </w:r>
    </w:p>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BB69DB" w14:paraId="51FA28B3" w14:textId="77777777">
        <w:trPr>
          <w:tblCellSpacing w:w="60" w:type="dxa"/>
        </w:trPr>
        <w:tc>
          <w:tcPr>
            <w:tcW w:w="1200" w:type="pct"/>
            <w:shd w:val="clear" w:color="auto" w:fill="E7F0F9"/>
          </w:tcPr>
          <w:p w14:paraId="6AAFC2BB" w14:textId="77777777" w:rsidR="00BB69DB" w:rsidRDefault="00BB69DB">
            <w:r>
              <w:rPr>
                <w:b/>
              </w:rPr>
              <w:lastRenderedPageBreak/>
              <w:t>RKP broj</w:t>
            </w:r>
          </w:p>
        </w:tc>
        <w:tc>
          <w:tcPr>
            <w:tcW w:w="0" w:type="auto"/>
            <w:shd w:val="clear" w:color="auto" w:fill="E7F0F9"/>
          </w:tcPr>
          <w:p w14:paraId="73CE720C" w14:textId="77777777" w:rsidR="00BB69DB" w:rsidRDefault="00BB69DB">
            <w:r>
              <w:t>1087</w:t>
            </w:r>
          </w:p>
        </w:tc>
      </w:tr>
      <w:tr w:rsidR="00BB69DB" w14:paraId="1DC7AAAF" w14:textId="77777777">
        <w:trPr>
          <w:tblCellSpacing w:w="60" w:type="dxa"/>
        </w:trPr>
        <w:tc>
          <w:tcPr>
            <w:tcW w:w="1200" w:type="pct"/>
            <w:shd w:val="clear" w:color="auto" w:fill="E7F0F9"/>
          </w:tcPr>
          <w:p w14:paraId="04F83C10" w14:textId="77777777" w:rsidR="00BB69DB" w:rsidRDefault="00BB69DB">
            <w:r>
              <w:rPr>
                <w:b/>
              </w:rPr>
              <w:t>Naziv obveznika</w:t>
            </w:r>
          </w:p>
        </w:tc>
        <w:tc>
          <w:tcPr>
            <w:tcW w:w="0" w:type="auto"/>
            <w:shd w:val="clear" w:color="auto" w:fill="E7F0F9"/>
          </w:tcPr>
          <w:p w14:paraId="4224EDE8" w14:textId="77777777" w:rsidR="00BB69DB" w:rsidRDefault="00BB69DB">
            <w:r>
              <w:t>MINISTARSTVO MORA, PROMETA I INFRASTRUKTURE</w:t>
            </w:r>
          </w:p>
        </w:tc>
      </w:tr>
      <w:tr w:rsidR="00BB69DB" w14:paraId="3135058C" w14:textId="77777777">
        <w:trPr>
          <w:tblCellSpacing w:w="60" w:type="dxa"/>
        </w:trPr>
        <w:tc>
          <w:tcPr>
            <w:tcW w:w="1200" w:type="pct"/>
            <w:shd w:val="clear" w:color="auto" w:fill="E7F0F9"/>
          </w:tcPr>
          <w:p w14:paraId="0FEBC768" w14:textId="77777777" w:rsidR="00BB69DB" w:rsidRDefault="00BB69DB">
            <w:r>
              <w:rPr>
                <w:b/>
              </w:rPr>
              <w:t>Razina</w:t>
            </w:r>
          </w:p>
        </w:tc>
        <w:tc>
          <w:tcPr>
            <w:tcW w:w="0" w:type="auto"/>
            <w:shd w:val="clear" w:color="auto" w:fill="E7F0F9"/>
          </w:tcPr>
          <w:p w14:paraId="634D8D5D" w14:textId="77777777" w:rsidR="00BB69DB" w:rsidRDefault="00BB69DB">
            <w:r>
              <w:t>11</w:t>
            </w:r>
          </w:p>
        </w:tc>
      </w:tr>
    </w:tbl>
    <w:p w14:paraId="5A22A0C0" w14:textId="77777777" w:rsidR="00BB69DB" w:rsidRDefault="00BB69DB">
      <w:r>
        <w:br/>
      </w:r>
    </w:p>
    <w:p w14:paraId="7D7DDE3B" w14:textId="77777777" w:rsidR="00BB69DB" w:rsidRDefault="00BB69DB">
      <w:pPr>
        <w:jc w:val="center"/>
      </w:pPr>
      <w:r>
        <w:rPr>
          <w:b/>
          <w:sz w:val="28"/>
        </w:rPr>
        <w:t>BILJEŠKE UZ FINANCIJSKE IZVJEŠTAJE</w:t>
      </w:r>
    </w:p>
    <w:p w14:paraId="60C380A2" w14:textId="77777777" w:rsidR="00BB69DB" w:rsidRDefault="00BB69DB">
      <w:pPr>
        <w:jc w:val="center"/>
      </w:pPr>
      <w:r>
        <w:rPr>
          <w:b/>
          <w:sz w:val="28"/>
        </w:rPr>
        <w:t>ZA RAZDOBLJE</w:t>
      </w:r>
    </w:p>
    <w:p w14:paraId="472AA2CA" w14:textId="77777777" w:rsidR="00BB69DB" w:rsidRDefault="00BB69DB">
      <w:pPr>
        <w:jc w:val="center"/>
      </w:pPr>
      <w:r>
        <w:rPr>
          <w:b/>
          <w:sz w:val="28"/>
        </w:rPr>
        <w:t>I - XII 2025.</w:t>
      </w:r>
    </w:p>
    <w:p w14:paraId="49B3F45A" w14:textId="77777777" w:rsidR="00BB69DB" w:rsidRDefault="00BB69DB"/>
    <w:p w14:paraId="17B1F9CA" w14:textId="77777777" w:rsidR="00BB69DB" w:rsidRDefault="00BB69DB">
      <w:pPr>
        <w:keepNext/>
        <w:jc w:val="center"/>
      </w:pPr>
      <w:r>
        <w:rPr>
          <w:b/>
          <w:sz w:val="28"/>
        </w:rPr>
        <w:t>Izvještaj o prihodima i rashodima, primicima i izdacima</w:t>
      </w:r>
    </w:p>
    <w:p w14:paraId="21C86CBD" w14:textId="77777777" w:rsidR="00BB69DB" w:rsidRDefault="00BB69DB">
      <w:pPr>
        <w:keepNext/>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69DB" w14:paraId="3D5CF29B" w14:textId="77777777">
        <w:trPr>
          <w:cantSplit/>
        </w:trPr>
        <w:tc>
          <w:tcPr>
            <w:tcW w:w="700" w:type="dxa"/>
            <w:shd w:val="clear" w:color="auto" w:fill="E7F0F9"/>
            <w:tcMar>
              <w:top w:w="0" w:type="dxa"/>
              <w:bottom w:w="0" w:type="dxa"/>
            </w:tcMar>
            <w:vAlign w:val="center"/>
          </w:tcPr>
          <w:p w14:paraId="21004489" w14:textId="77777777" w:rsidR="00BB69DB" w:rsidRDefault="00BB69DB">
            <w:pPr>
              <w:keepNext/>
              <w:keepLines/>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520640" w14:textId="77777777" w:rsidR="00BB69DB" w:rsidRDefault="00BB69DB">
            <w:pPr>
              <w:keepNext/>
              <w:keepLines/>
              <w:jc w:val="center"/>
            </w:pPr>
            <w:r>
              <w:rPr>
                <w:b/>
                <w:sz w:val="18"/>
              </w:rPr>
              <w:t>Opis stavke</w:t>
            </w:r>
          </w:p>
        </w:tc>
        <w:tc>
          <w:tcPr>
            <w:tcW w:w="700" w:type="dxa"/>
            <w:shd w:val="clear" w:color="auto" w:fill="E7F0F9"/>
            <w:tcMar>
              <w:top w:w="0" w:type="dxa"/>
              <w:bottom w:w="0" w:type="dxa"/>
            </w:tcMar>
            <w:vAlign w:val="center"/>
          </w:tcPr>
          <w:p w14:paraId="3FC68DDB" w14:textId="77777777" w:rsidR="00BB69DB" w:rsidRDefault="00BB69DB">
            <w:pPr>
              <w:keepNext/>
              <w:keepLines/>
              <w:jc w:val="center"/>
            </w:pPr>
            <w:r>
              <w:rPr>
                <w:b/>
                <w:sz w:val="18"/>
              </w:rPr>
              <w:t>Šifra</w:t>
            </w:r>
          </w:p>
        </w:tc>
        <w:tc>
          <w:tcPr>
            <w:tcW w:w="1860" w:type="dxa"/>
            <w:shd w:val="clear" w:color="auto" w:fill="E7F0F9"/>
            <w:tcMar>
              <w:top w:w="0" w:type="dxa"/>
              <w:bottom w:w="0" w:type="dxa"/>
            </w:tcMar>
            <w:vAlign w:val="center"/>
          </w:tcPr>
          <w:p w14:paraId="3F3CE4C6" w14:textId="77777777" w:rsidR="00BB69DB" w:rsidRDefault="00BB69DB">
            <w:pPr>
              <w:keepNext/>
              <w:keepLines/>
              <w:jc w:val="center"/>
            </w:pPr>
            <w:r>
              <w:rPr>
                <w:b/>
                <w:sz w:val="18"/>
              </w:rPr>
              <w:t>Ostvareno u izvještajnom razdoblju prethodne godine</w:t>
            </w:r>
          </w:p>
        </w:tc>
        <w:tc>
          <w:tcPr>
            <w:tcW w:w="1860" w:type="dxa"/>
            <w:shd w:val="clear" w:color="auto" w:fill="E7F0F9"/>
            <w:tcMar>
              <w:top w:w="0" w:type="dxa"/>
              <w:bottom w:w="0" w:type="dxa"/>
            </w:tcMar>
            <w:vAlign w:val="center"/>
          </w:tcPr>
          <w:p w14:paraId="1E214E15" w14:textId="77777777" w:rsidR="00BB69DB" w:rsidRDefault="00BB69DB">
            <w:pPr>
              <w:keepNext/>
              <w:keepLines/>
              <w:jc w:val="center"/>
            </w:pPr>
            <w:r>
              <w:rPr>
                <w:b/>
                <w:sz w:val="18"/>
              </w:rPr>
              <w:t>Ostvareno u izvještajnom razdoblju tekuće godine</w:t>
            </w:r>
          </w:p>
        </w:tc>
        <w:tc>
          <w:tcPr>
            <w:tcW w:w="700" w:type="dxa"/>
            <w:shd w:val="clear" w:color="auto" w:fill="E7F0F9"/>
            <w:tcMar>
              <w:top w:w="0" w:type="dxa"/>
              <w:bottom w:w="0" w:type="dxa"/>
            </w:tcMar>
            <w:vAlign w:val="center"/>
          </w:tcPr>
          <w:p w14:paraId="7EBD4069" w14:textId="77777777" w:rsidR="00BB69DB" w:rsidRDefault="00BB69DB">
            <w:pPr>
              <w:keepNext/>
              <w:keepLines/>
              <w:jc w:val="center"/>
            </w:pPr>
            <w:r>
              <w:rPr>
                <w:b/>
                <w:sz w:val="18"/>
              </w:rPr>
              <w:t>Indeks (%)</w:t>
            </w:r>
          </w:p>
        </w:tc>
      </w:tr>
      <w:tr w:rsidR="00BB69DB" w14:paraId="5F0F47DB" w14:textId="77777777">
        <w:trPr>
          <w:cantSplit/>
          <w:trHeight w:val="560"/>
        </w:trPr>
        <w:tc>
          <w:tcPr>
            <w:tcW w:w="700" w:type="dxa"/>
            <w:tcMar>
              <w:top w:w="0" w:type="dxa"/>
              <w:bottom w:w="0" w:type="dxa"/>
            </w:tcMar>
            <w:vAlign w:val="center"/>
          </w:tcPr>
          <w:p w14:paraId="31D404E4" w14:textId="77777777" w:rsidR="00BB69DB" w:rsidRDefault="00BB69DB">
            <w:pPr>
              <w:keepNext/>
              <w:keepLines/>
            </w:pPr>
            <w:r>
              <w:rPr>
                <w:sz w:val="18"/>
              </w:rPr>
              <w:t>6</w:t>
            </w:r>
          </w:p>
        </w:tc>
        <w:tc>
          <w:tcPr>
            <w:tcW w:w="3180" w:type="dxa"/>
            <w:tcMar>
              <w:top w:w="0" w:type="dxa"/>
              <w:bottom w:w="0" w:type="dxa"/>
            </w:tcMar>
            <w:vAlign w:val="center"/>
          </w:tcPr>
          <w:p w14:paraId="2DCC7DD7" w14:textId="77777777" w:rsidR="00BB69DB" w:rsidRDefault="00BB69DB">
            <w:pPr>
              <w:keepNext/>
              <w:keepLines/>
            </w:pPr>
            <w:r>
              <w:rPr>
                <w:sz w:val="18"/>
              </w:rPr>
              <w:t>PRIHODI POSLOVANJA (šifre 61+62+63+64+65+66+67+68)</w:t>
            </w:r>
          </w:p>
        </w:tc>
        <w:tc>
          <w:tcPr>
            <w:tcW w:w="700" w:type="dxa"/>
            <w:tcMar>
              <w:top w:w="0" w:type="dxa"/>
              <w:bottom w:w="0" w:type="dxa"/>
            </w:tcMar>
            <w:vAlign w:val="center"/>
          </w:tcPr>
          <w:p w14:paraId="190460DF" w14:textId="77777777" w:rsidR="00BB69DB" w:rsidRDefault="00BB69DB">
            <w:pPr>
              <w:keepNext/>
              <w:keepLines/>
            </w:pPr>
            <w:r>
              <w:rPr>
                <w:sz w:val="18"/>
              </w:rPr>
              <w:t>6</w:t>
            </w:r>
          </w:p>
        </w:tc>
        <w:tc>
          <w:tcPr>
            <w:tcW w:w="1860" w:type="dxa"/>
            <w:tcMar>
              <w:top w:w="0" w:type="dxa"/>
              <w:bottom w:w="0" w:type="dxa"/>
            </w:tcMar>
            <w:vAlign w:val="center"/>
          </w:tcPr>
          <w:p w14:paraId="58051497" w14:textId="77777777" w:rsidR="00BB69DB" w:rsidRDefault="00BB69DB">
            <w:pPr>
              <w:keepNext/>
              <w:keepLines/>
              <w:jc w:val="right"/>
            </w:pPr>
            <w:r>
              <w:rPr>
                <w:sz w:val="18"/>
              </w:rPr>
              <w:t>1.127.427.288,88</w:t>
            </w:r>
          </w:p>
        </w:tc>
        <w:tc>
          <w:tcPr>
            <w:tcW w:w="1860" w:type="dxa"/>
            <w:tcMar>
              <w:top w:w="0" w:type="dxa"/>
              <w:bottom w:w="0" w:type="dxa"/>
            </w:tcMar>
            <w:vAlign w:val="center"/>
          </w:tcPr>
          <w:p w14:paraId="55F3CCEE" w14:textId="77777777" w:rsidR="00BB69DB" w:rsidRDefault="00BB69DB">
            <w:pPr>
              <w:keepNext/>
              <w:keepLines/>
              <w:jc w:val="right"/>
            </w:pPr>
            <w:r>
              <w:rPr>
                <w:sz w:val="18"/>
              </w:rPr>
              <w:t>1.276.210.976,05</w:t>
            </w:r>
          </w:p>
        </w:tc>
        <w:tc>
          <w:tcPr>
            <w:tcW w:w="700" w:type="dxa"/>
            <w:tcMar>
              <w:top w:w="0" w:type="dxa"/>
              <w:bottom w:w="0" w:type="dxa"/>
            </w:tcMar>
            <w:vAlign w:val="center"/>
          </w:tcPr>
          <w:p w14:paraId="0509ABC5" w14:textId="77777777" w:rsidR="00BB69DB" w:rsidRDefault="00BB69DB">
            <w:pPr>
              <w:keepNext/>
              <w:keepLines/>
              <w:jc w:val="right"/>
            </w:pPr>
            <w:r>
              <w:rPr>
                <w:sz w:val="18"/>
              </w:rPr>
              <w:t>113,2</w:t>
            </w:r>
          </w:p>
        </w:tc>
      </w:tr>
      <w:tr w:rsidR="00BB69DB" w14:paraId="43EA4DCF" w14:textId="77777777">
        <w:trPr>
          <w:cantSplit/>
          <w:trHeight w:val="560"/>
        </w:trPr>
        <w:tc>
          <w:tcPr>
            <w:tcW w:w="700" w:type="dxa"/>
            <w:tcMar>
              <w:top w:w="0" w:type="dxa"/>
              <w:bottom w:w="0" w:type="dxa"/>
            </w:tcMar>
            <w:vAlign w:val="center"/>
          </w:tcPr>
          <w:p w14:paraId="68448B9A" w14:textId="77777777" w:rsidR="00BB69DB" w:rsidRDefault="00BB69DB">
            <w:pPr>
              <w:keepNext/>
              <w:keepLines/>
            </w:pPr>
            <w:r>
              <w:rPr>
                <w:sz w:val="18"/>
              </w:rPr>
              <w:t>3</w:t>
            </w:r>
          </w:p>
        </w:tc>
        <w:tc>
          <w:tcPr>
            <w:tcW w:w="3180" w:type="dxa"/>
            <w:tcMar>
              <w:top w:w="0" w:type="dxa"/>
              <w:bottom w:w="0" w:type="dxa"/>
            </w:tcMar>
            <w:vAlign w:val="center"/>
          </w:tcPr>
          <w:p w14:paraId="28AC7421" w14:textId="77777777" w:rsidR="00BB69DB" w:rsidRDefault="00BB69DB">
            <w:pPr>
              <w:keepNext/>
              <w:keepLines/>
            </w:pPr>
            <w:r>
              <w:rPr>
                <w:sz w:val="18"/>
              </w:rPr>
              <w:t>RASHODI POSLOVANJA (šifre 31+32+34+35+36+37+38)</w:t>
            </w:r>
          </w:p>
        </w:tc>
        <w:tc>
          <w:tcPr>
            <w:tcW w:w="700" w:type="dxa"/>
            <w:tcMar>
              <w:top w:w="0" w:type="dxa"/>
              <w:bottom w:w="0" w:type="dxa"/>
            </w:tcMar>
            <w:vAlign w:val="center"/>
          </w:tcPr>
          <w:p w14:paraId="7AEFE004" w14:textId="77777777" w:rsidR="00BB69DB" w:rsidRDefault="00BB69DB">
            <w:pPr>
              <w:keepNext/>
              <w:keepLines/>
            </w:pPr>
            <w:r>
              <w:rPr>
                <w:sz w:val="18"/>
              </w:rPr>
              <w:t>3</w:t>
            </w:r>
          </w:p>
        </w:tc>
        <w:tc>
          <w:tcPr>
            <w:tcW w:w="1860" w:type="dxa"/>
            <w:tcMar>
              <w:top w:w="0" w:type="dxa"/>
              <w:bottom w:w="0" w:type="dxa"/>
            </w:tcMar>
            <w:vAlign w:val="center"/>
          </w:tcPr>
          <w:p w14:paraId="5F71E4F9" w14:textId="77777777" w:rsidR="00BB69DB" w:rsidRDefault="00BB69DB">
            <w:pPr>
              <w:keepNext/>
              <w:keepLines/>
              <w:jc w:val="right"/>
            </w:pPr>
            <w:r>
              <w:rPr>
                <w:sz w:val="18"/>
              </w:rPr>
              <w:t>1.216.804.356,83</w:t>
            </w:r>
          </w:p>
        </w:tc>
        <w:tc>
          <w:tcPr>
            <w:tcW w:w="1860" w:type="dxa"/>
            <w:tcMar>
              <w:top w:w="0" w:type="dxa"/>
              <w:bottom w:w="0" w:type="dxa"/>
            </w:tcMar>
            <w:vAlign w:val="center"/>
          </w:tcPr>
          <w:p w14:paraId="2F6A1779" w14:textId="77777777" w:rsidR="00BB69DB" w:rsidRDefault="00BB69DB">
            <w:pPr>
              <w:keepNext/>
              <w:keepLines/>
              <w:jc w:val="right"/>
            </w:pPr>
            <w:r>
              <w:rPr>
                <w:sz w:val="18"/>
              </w:rPr>
              <w:t>1.368.720.409,57</w:t>
            </w:r>
          </w:p>
        </w:tc>
        <w:tc>
          <w:tcPr>
            <w:tcW w:w="700" w:type="dxa"/>
            <w:tcMar>
              <w:top w:w="0" w:type="dxa"/>
              <w:bottom w:w="0" w:type="dxa"/>
            </w:tcMar>
            <w:vAlign w:val="center"/>
          </w:tcPr>
          <w:p w14:paraId="14134FD5" w14:textId="77777777" w:rsidR="00BB69DB" w:rsidRDefault="00BB69DB">
            <w:pPr>
              <w:keepNext/>
              <w:keepLines/>
              <w:jc w:val="right"/>
            </w:pPr>
            <w:r>
              <w:rPr>
                <w:sz w:val="18"/>
              </w:rPr>
              <w:t>112,5</w:t>
            </w:r>
          </w:p>
        </w:tc>
      </w:tr>
      <w:tr w:rsidR="00BB69DB" w14:paraId="669CFF85" w14:textId="77777777">
        <w:trPr>
          <w:cantSplit/>
          <w:trHeight w:val="560"/>
        </w:trPr>
        <w:tc>
          <w:tcPr>
            <w:tcW w:w="700" w:type="dxa"/>
            <w:tcMar>
              <w:top w:w="0" w:type="dxa"/>
              <w:bottom w:w="0" w:type="dxa"/>
            </w:tcMar>
            <w:vAlign w:val="center"/>
          </w:tcPr>
          <w:p w14:paraId="0EB7D738" w14:textId="77777777" w:rsidR="00BB69DB" w:rsidRDefault="00BB69DB">
            <w:pPr>
              <w:keepNext/>
              <w:keepLines/>
            </w:pPr>
          </w:p>
        </w:tc>
        <w:tc>
          <w:tcPr>
            <w:tcW w:w="3180" w:type="dxa"/>
            <w:tcMar>
              <w:top w:w="0" w:type="dxa"/>
              <w:bottom w:w="0" w:type="dxa"/>
            </w:tcMar>
            <w:vAlign w:val="center"/>
          </w:tcPr>
          <w:p w14:paraId="3DC82ABA" w14:textId="77777777" w:rsidR="00BB69DB" w:rsidRDefault="00BB69DB">
            <w:pPr>
              <w:keepNext/>
              <w:keepLines/>
            </w:pPr>
            <w:r>
              <w:rPr>
                <w:b/>
                <w:sz w:val="18"/>
              </w:rPr>
              <w:t>MANJAK PRIHODA POSLOVANJA (šifre Z005-6)</w:t>
            </w:r>
          </w:p>
        </w:tc>
        <w:tc>
          <w:tcPr>
            <w:tcW w:w="700" w:type="dxa"/>
            <w:tcMar>
              <w:top w:w="0" w:type="dxa"/>
              <w:bottom w:w="0" w:type="dxa"/>
            </w:tcMar>
            <w:vAlign w:val="center"/>
          </w:tcPr>
          <w:p w14:paraId="431C01EE" w14:textId="77777777" w:rsidR="00BB69DB" w:rsidRDefault="00BB69DB">
            <w:pPr>
              <w:keepNext/>
              <w:keepLines/>
            </w:pPr>
            <w:r>
              <w:rPr>
                <w:b/>
                <w:sz w:val="18"/>
              </w:rPr>
              <w:t>Y001</w:t>
            </w:r>
          </w:p>
        </w:tc>
        <w:tc>
          <w:tcPr>
            <w:tcW w:w="1860" w:type="dxa"/>
            <w:tcMar>
              <w:top w:w="0" w:type="dxa"/>
              <w:bottom w:w="0" w:type="dxa"/>
            </w:tcMar>
            <w:vAlign w:val="center"/>
          </w:tcPr>
          <w:p w14:paraId="2482D191" w14:textId="77777777" w:rsidR="00BB69DB" w:rsidRDefault="00BB69DB">
            <w:pPr>
              <w:keepNext/>
              <w:keepLines/>
              <w:jc w:val="right"/>
            </w:pPr>
            <w:r>
              <w:rPr>
                <w:b/>
                <w:sz w:val="18"/>
              </w:rPr>
              <w:t>89.377.067,95</w:t>
            </w:r>
          </w:p>
        </w:tc>
        <w:tc>
          <w:tcPr>
            <w:tcW w:w="1860" w:type="dxa"/>
            <w:tcMar>
              <w:top w:w="0" w:type="dxa"/>
              <w:bottom w:w="0" w:type="dxa"/>
            </w:tcMar>
            <w:vAlign w:val="center"/>
          </w:tcPr>
          <w:p w14:paraId="49AE73CD" w14:textId="77777777" w:rsidR="00BB69DB" w:rsidRDefault="00BB69DB">
            <w:pPr>
              <w:keepNext/>
              <w:keepLines/>
              <w:jc w:val="right"/>
            </w:pPr>
            <w:r>
              <w:rPr>
                <w:b/>
                <w:sz w:val="18"/>
              </w:rPr>
              <w:t>92.509.433,52</w:t>
            </w:r>
          </w:p>
        </w:tc>
        <w:tc>
          <w:tcPr>
            <w:tcW w:w="700" w:type="dxa"/>
            <w:tcMar>
              <w:top w:w="0" w:type="dxa"/>
              <w:bottom w:w="0" w:type="dxa"/>
            </w:tcMar>
            <w:vAlign w:val="center"/>
          </w:tcPr>
          <w:p w14:paraId="449D6E4B" w14:textId="77777777" w:rsidR="00BB69DB" w:rsidRDefault="00BB69DB">
            <w:pPr>
              <w:keepNext/>
              <w:keepLines/>
              <w:jc w:val="right"/>
            </w:pPr>
            <w:r>
              <w:rPr>
                <w:b/>
                <w:sz w:val="18"/>
              </w:rPr>
              <w:t>103,5</w:t>
            </w:r>
          </w:p>
        </w:tc>
      </w:tr>
      <w:tr w:rsidR="00BB69DB" w14:paraId="3AC6C721" w14:textId="77777777">
        <w:trPr>
          <w:cantSplit/>
          <w:trHeight w:val="560"/>
        </w:trPr>
        <w:tc>
          <w:tcPr>
            <w:tcW w:w="700" w:type="dxa"/>
            <w:tcMar>
              <w:top w:w="0" w:type="dxa"/>
              <w:bottom w:w="0" w:type="dxa"/>
            </w:tcMar>
            <w:vAlign w:val="center"/>
          </w:tcPr>
          <w:p w14:paraId="30038E13" w14:textId="77777777" w:rsidR="00BB69DB" w:rsidRDefault="00BB69DB">
            <w:pPr>
              <w:keepNext/>
              <w:keepLines/>
            </w:pPr>
            <w:r>
              <w:rPr>
                <w:sz w:val="18"/>
              </w:rPr>
              <w:t>7</w:t>
            </w:r>
          </w:p>
        </w:tc>
        <w:tc>
          <w:tcPr>
            <w:tcW w:w="3180" w:type="dxa"/>
            <w:tcMar>
              <w:top w:w="0" w:type="dxa"/>
              <w:bottom w:w="0" w:type="dxa"/>
            </w:tcMar>
            <w:vAlign w:val="center"/>
          </w:tcPr>
          <w:p w14:paraId="136E32F1" w14:textId="77777777" w:rsidR="00BB69DB" w:rsidRDefault="00BB69DB">
            <w:pPr>
              <w:keepNext/>
              <w:keepLines/>
            </w:pPr>
            <w:r>
              <w:rPr>
                <w:sz w:val="18"/>
              </w:rPr>
              <w:t>Prihodi od prodaje nefinancijske imovine (šifre 71+72+73+74)</w:t>
            </w:r>
          </w:p>
        </w:tc>
        <w:tc>
          <w:tcPr>
            <w:tcW w:w="700" w:type="dxa"/>
            <w:tcMar>
              <w:top w:w="0" w:type="dxa"/>
              <w:bottom w:w="0" w:type="dxa"/>
            </w:tcMar>
            <w:vAlign w:val="center"/>
          </w:tcPr>
          <w:p w14:paraId="05A4F855" w14:textId="77777777" w:rsidR="00BB69DB" w:rsidRDefault="00BB69DB">
            <w:pPr>
              <w:keepNext/>
              <w:keepLines/>
            </w:pPr>
            <w:r>
              <w:rPr>
                <w:sz w:val="18"/>
              </w:rPr>
              <w:t>7</w:t>
            </w:r>
          </w:p>
        </w:tc>
        <w:tc>
          <w:tcPr>
            <w:tcW w:w="1860" w:type="dxa"/>
            <w:tcMar>
              <w:top w:w="0" w:type="dxa"/>
              <w:bottom w:w="0" w:type="dxa"/>
            </w:tcMar>
            <w:vAlign w:val="center"/>
          </w:tcPr>
          <w:p w14:paraId="24D791DF" w14:textId="77777777" w:rsidR="00BB69DB" w:rsidRDefault="00BB69DB">
            <w:pPr>
              <w:keepNext/>
              <w:keepLines/>
              <w:jc w:val="right"/>
            </w:pPr>
            <w:r>
              <w:rPr>
                <w:sz w:val="18"/>
              </w:rPr>
              <w:t>0,00</w:t>
            </w:r>
          </w:p>
        </w:tc>
        <w:tc>
          <w:tcPr>
            <w:tcW w:w="1860" w:type="dxa"/>
            <w:tcMar>
              <w:top w:w="0" w:type="dxa"/>
              <w:bottom w:w="0" w:type="dxa"/>
            </w:tcMar>
            <w:vAlign w:val="center"/>
          </w:tcPr>
          <w:p w14:paraId="7D03EC4D" w14:textId="77777777" w:rsidR="00BB69DB" w:rsidRDefault="00BB69DB">
            <w:pPr>
              <w:keepNext/>
              <w:keepLines/>
              <w:jc w:val="right"/>
            </w:pPr>
            <w:r>
              <w:rPr>
                <w:sz w:val="18"/>
              </w:rPr>
              <w:t>0,00</w:t>
            </w:r>
          </w:p>
        </w:tc>
        <w:tc>
          <w:tcPr>
            <w:tcW w:w="700" w:type="dxa"/>
            <w:tcMar>
              <w:top w:w="0" w:type="dxa"/>
              <w:bottom w:w="0" w:type="dxa"/>
            </w:tcMar>
            <w:vAlign w:val="center"/>
          </w:tcPr>
          <w:p w14:paraId="1A8D5371" w14:textId="77777777" w:rsidR="00BB69DB" w:rsidRDefault="00BB69DB">
            <w:pPr>
              <w:keepNext/>
              <w:keepLines/>
              <w:jc w:val="right"/>
            </w:pPr>
            <w:r>
              <w:rPr>
                <w:sz w:val="18"/>
              </w:rPr>
              <w:t>-</w:t>
            </w:r>
          </w:p>
        </w:tc>
      </w:tr>
      <w:tr w:rsidR="00BB69DB" w14:paraId="0EE6E884" w14:textId="77777777">
        <w:trPr>
          <w:cantSplit/>
          <w:trHeight w:val="560"/>
        </w:trPr>
        <w:tc>
          <w:tcPr>
            <w:tcW w:w="700" w:type="dxa"/>
            <w:tcMar>
              <w:top w:w="0" w:type="dxa"/>
              <w:bottom w:w="0" w:type="dxa"/>
            </w:tcMar>
            <w:vAlign w:val="center"/>
          </w:tcPr>
          <w:p w14:paraId="76D215DA" w14:textId="77777777" w:rsidR="00BB69DB" w:rsidRDefault="00BB69DB">
            <w:pPr>
              <w:keepNext/>
              <w:keepLines/>
            </w:pPr>
            <w:r>
              <w:rPr>
                <w:sz w:val="18"/>
              </w:rPr>
              <w:t>4</w:t>
            </w:r>
          </w:p>
        </w:tc>
        <w:tc>
          <w:tcPr>
            <w:tcW w:w="3180" w:type="dxa"/>
            <w:tcMar>
              <w:top w:w="0" w:type="dxa"/>
              <w:bottom w:w="0" w:type="dxa"/>
            </w:tcMar>
            <w:vAlign w:val="center"/>
          </w:tcPr>
          <w:p w14:paraId="749D365E" w14:textId="77777777" w:rsidR="00BB69DB" w:rsidRDefault="00BB69DB">
            <w:pPr>
              <w:keepNext/>
              <w:keepLines/>
            </w:pPr>
            <w:r>
              <w:rPr>
                <w:sz w:val="18"/>
              </w:rPr>
              <w:t>Rashodi za nabavu nefinancijske imovine (šifre 41+42+43+44+45)</w:t>
            </w:r>
          </w:p>
        </w:tc>
        <w:tc>
          <w:tcPr>
            <w:tcW w:w="700" w:type="dxa"/>
            <w:tcMar>
              <w:top w:w="0" w:type="dxa"/>
              <w:bottom w:w="0" w:type="dxa"/>
            </w:tcMar>
            <w:vAlign w:val="center"/>
          </w:tcPr>
          <w:p w14:paraId="4E3B9CD3" w14:textId="77777777" w:rsidR="00BB69DB" w:rsidRDefault="00BB69DB">
            <w:pPr>
              <w:keepNext/>
              <w:keepLines/>
            </w:pPr>
            <w:r>
              <w:rPr>
                <w:sz w:val="18"/>
              </w:rPr>
              <w:t>4</w:t>
            </w:r>
          </w:p>
        </w:tc>
        <w:tc>
          <w:tcPr>
            <w:tcW w:w="1860" w:type="dxa"/>
            <w:tcMar>
              <w:top w:w="0" w:type="dxa"/>
              <w:bottom w:w="0" w:type="dxa"/>
            </w:tcMar>
            <w:vAlign w:val="center"/>
          </w:tcPr>
          <w:p w14:paraId="5FFC1B0C" w14:textId="77777777" w:rsidR="00BB69DB" w:rsidRDefault="00BB69DB">
            <w:pPr>
              <w:keepNext/>
              <w:keepLines/>
              <w:jc w:val="right"/>
            </w:pPr>
            <w:r>
              <w:rPr>
                <w:sz w:val="18"/>
              </w:rPr>
              <w:t>10.062.397,49</w:t>
            </w:r>
          </w:p>
        </w:tc>
        <w:tc>
          <w:tcPr>
            <w:tcW w:w="1860" w:type="dxa"/>
            <w:tcMar>
              <w:top w:w="0" w:type="dxa"/>
              <w:bottom w:w="0" w:type="dxa"/>
            </w:tcMar>
            <w:vAlign w:val="center"/>
          </w:tcPr>
          <w:p w14:paraId="65A697BD" w14:textId="77777777" w:rsidR="00BB69DB" w:rsidRDefault="00BB69DB">
            <w:pPr>
              <w:keepNext/>
              <w:keepLines/>
              <w:jc w:val="right"/>
            </w:pPr>
            <w:r>
              <w:rPr>
                <w:sz w:val="18"/>
              </w:rPr>
              <w:t>18.287.862,14</w:t>
            </w:r>
          </w:p>
        </w:tc>
        <w:tc>
          <w:tcPr>
            <w:tcW w:w="700" w:type="dxa"/>
            <w:tcMar>
              <w:top w:w="0" w:type="dxa"/>
              <w:bottom w:w="0" w:type="dxa"/>
            </w:tcMar>
            <w:vAlign w:val="center"/>
          </w:tcPr>
          <w:p w14:paraId="43181B95" w14:textId="77777777" w:rsidR="00BB69DB" w:rsidRDefault="00BB69DB">
            <w:pPr>
              <w:keepNext/>
              <w:keepLines/>
              <w:jc w:val="right"/>
            </w:pPr>
            <w:r>
              <w:rPr>
                <w:sz w:val="18"/>
              </w:rPr>
              <w:t>181,7</w:t>
            </w:r>
          </w:p>
        </w:tc>
      </w:tr>
      <w:tr w:rsidR="00BB69DB" w14:paraId="033C0DBF" w14:textId="77777777">
        <w:trPr>
          <w:cantSplit/>
          <w:trHeight w:val="560"/>
        </w:trPr>
        <w:tc>
          <w:tcPr>
            <w:tcW w:w="700" w:type="dxa"/>
            <w:tcMar>
              <w:top w:w="0" w:type="dxa"/>
              <w:bottom w:w="0" w:type="dxa"/>
            </w:tcMar>
            <w:vAlign w:val="center"/>
          </w:tcPr>
          <w:p w14:paraId="4B72CB12" w14:textId="77777777" w:rsidR="00BB69DB" w:rsidRDefault="00BB69DB">
            <w:pPr>
              <w:keepNext/>
              <w:keepLines/>
            </w:pPr>
          </w:p>
        </w:tc>
        <w:tc>
          <w:tcPr>
            <w:tcW w:w="3180" w:type="dxa"/>
            <w:tcMar>
              <w:top w:w="0" w:type="dxa"/>
              <w:bottom w:w="0" w:type="dxa"/>
            </w:tcMar>
            <w:vAlign w:val="center"/>
          </w:tcPr>
          <w:p w14:paraId="0DE55772" w14:textId="77777777" w:rsidR="00BB69DB" w:rsidRDefault="00BB69DB">
            <w:pPr>
              <w:keepNext/>
              <w:keepLines/>
            </w:pPr>
            <w:r>
              <w:rPr>
                <w:b/>
                <w:sz w:val="18"/>
              </w:rPr>
              <w:t>MANJAK PRIHODA OD NEFINANCIJSKE IMOVINE (šifre 4-7)</w:t>
            </w:r>
          </w:p>
        </w:tc>
        <w:tc>
          <w:tcPr>
            <w:tcW w:w="700" w:type="dxa"/>
            <w:tcMar>
              <w:top w:w="0" w:type="dxa"/>
              <w:bottom w:w="0" w:type="dxa"/>
            </w:tcMar>
            <w:vAlign w:val="center"/>
          </w:tcPr>
          <w:p w14:paraId="32586517" w14:textId="77777777" w:rsidR="00BB69DB" w:rsidRDefault="00BB69DB">
            <w:pPr>
              <w:keepNext/>
              <w:keepLines/>
            </w:pPr>
            <w:r>
              <w:rPr>
                <w:b/>
                <w:sz w:val="18"/>
              </w:rPr>
              <w:t>Y002</w:t>
            </w:r>
          </w:p>
        </w:tc>
        <w:tc>
          <w:tcPr>
            <w:tcW w:w="1860" w:type="dxa"/>
            <w:tcMar>
              <w:top w:w="0" w:type="dxa"/>
              <w:bottom w:w="0" w:type="dxa"/>
            </w:tcMar>
            <w:vAlign w:val="center"/>
          </w:tcPr>
          <w:p w14:paraId="042AF16F" w14:textId="77777777" w:rsidR="00BB69DB" w:rsidRDefault="00BB69DB">
            <w:pPr>
              <w:keepNext/>
              <w:keepLines/>
              <w:jc w:val="right"/>
            </w:pPr>
            <w:r>
              <w:rPr>
                <w:b/>
                <w:sz w:val="18"/>
              </w:rPr>
              <w:t>10.062.397,49</w:t>
            </w:r>
          </w:p>
        </w:tc>
        <w:tc>
          <w:tcPr>
            <w:tcW w:w="1860" w:type="dxa"/>
            <w:tcMar>
              <w:top w:w="0" w:type="dxa"/>
              <w:bottom w:w="0" w:type="dxa"/>
            </w:tcMar>
            <w:vAlign w:val="center"/>
          </w:tcPr>
          <w:p w14:paraId="7E7CED23" w14:textId="77777777" w:rsidR="00BB69DB" w:rsidRDefault="00BB69DB">
            <w:pPr>
              <w:keepNext/>
              <w:keepLines/>
              <w:jc w:val="right"/>
            </w:pPr>
            <w:r>
              <w:rPr>
                <w:b/>
                <w:sz w:val="18"/>
              </w:rPr>
              <w:t>18.287.862,14</w:t>
            </w:r>
          </w:p>
        </w:tc>
        <w:tc>
          <w:tcPr>
            <w:tcW w:w="700" w:type="dxa"/>
            <w:tcMar>
              <w:top w:w="0" w:type="dxa"/>
              <w:bottom w:w="0" w:type="dxa"/>
            </w:tcMar>
            <w:vAlign w:val="center"/>
          </w:tcPr>
          <w:p w14:paraId="19A2524D" w14:textId="77777777" w:rsidR="00BB69DB" w:rsidRDefault="00BB69DB">
            <w:pPr>
              <w:keepNext/>
              <w:keepLines/>
              <w:jc w:val="right"/>
            </w:pPr>
            <w:r>
              <w:rPr>
                <w:b/>
                <w:sz w:val="18"/>
              </w:rPr>
              <w:t>181,7</w:t>
            </w:r>
          </w:p>
        </w:tc>
      </w:tr>
      <w:tr w:rsidR="00BB69DB" w14:paraId="5CB04AA9" w14:textId="77777777">
        <w:trPr>
          <w:cantSplit/>
          <w:trHeight w:val="560"/>
        </w:trPr>
        <w:tc>
          <w:tcPr>
            <w:tcW w:w="700" w:type="dxa"/>
            <w:tcMar>
              <w:top w:w="0" w:type="dxa"/>
              <w:bottom w:w="0" w:type="dxa"/>
            </w:tcMar>
            <w:vAlign w:val="center"/>
          </w:tcPr>
          <w:p w14:paraId="31E80D96" w14:textId="77777777" w:rsidR="00BB69DB" w:rsidRDefault="00BB69DB">
            <w:pPr>
              <w:keepNext/>
              <w:keepLines/>
            </w:pPr>
            <w:r>
              <w:rPr>
                <w:sz w:val="18"/>
              </w:rPr>
              <w:t>8</w:t>
            </w:r>
          </w:p>
        </w:tc>
        <w:tc>
          <w:tcPr>
            <w:tcW w:w="3180" w:type="dxa"/>
            <w:tcMar>
              <w:top w:w="0" w:type="dxa"/>
              <w:bottom w:w="0" w:type="dxa"/>
            </w:tcMar>
            <w:vAlign w:val="center"/>
          </w:tcPr>
          <w:p w14:paraId="2E5E0BFC" w14:textId="77777777" w:rsidR="00BB69DB" w:rsidRDefault="00BB69DB">
            <w:pPr>
              <w:keepNext/>
              <w:keepLines/>
            </w:pPr>
            <w:r>
              <w:rPr>
                <w:sz w:val="18"/>
              </w:rPr>
              <w:t>Primici od financijske imovine i zaduživanja (šifre 81+82+83+84+85)</w:t>
            </w:r>
          </w:p>
        </w:tc>
        <w:tc>
          <w:tcPr>
            <w:tcW w:w="700" w:type="dxa"/>
            <w:tcMar>
              <w:top w:w="0" w:type="dxa"/>
              <w:bottom w:w="0" w:type="dxa"/>
            </w:tcMar>
            <w:vAlign w:val="center"/>
          </w:tcPr>
          <w:p w14:paraId="68FEA0E1" w14:textId="77777777" w:rsidR="00BB69DB" w:rsidRDefault="00BB69DB">
            <w:pPr>
              <w:keepNext/>
              <w:keepLines/>
            </w:pPr>
            <w:r>
              <w:rPr>
                <w:sz w:val="18"/>
              </w:rPr>
              <w:t>8</w:t>
            </w:r>
          </w:p>
        </w:tc>
        <w:tc>
          <w:tcPr>
            <w:tcW w:w="1860" w:type="dxa"/>
            <w:tcMar>
              <w:top w:w="0" w:type="dxa"/>
              <w:bottom w:w="0" w:type="dxa"/>
            </w:tcMar>
            <w:vAlign w:val="center"/>
          </w:tcPr>
          <w:p w14:paraId="0B6ECBE1" w14:textId="77777777" w:rsidR="00BB69DB" w:rsidRDefault="00BB69DB">
            <w:pPr>
              <w:keepNext/>
              <w:keepLines/>
              <w:jc w:val="right"/>
            </w:pPr>
            <w:r>
              <w:rPr>
                <w:sz w:val="18"/>
              </w:rPr>
              <w:t>108.500.000,00</w:t>
            </w:r>
          </w:p>
        </w:tc>
        <w:tc>
          <w:tcPr>
            <w:tcW w:w="1860" w:type="dxa"/>
            <w:tcMar>
              <w:top w:w="0" w:type="dxa"/>
              <w:bottom w:w="0" w:type="dxa"/>
            </w:tcMar>
            <w:vAlign w:val="center"/>
          </w:tcPr>
          <w:p w14:paraId="34903F0C" w14:textId="77777777" w:rsidR="00BB69DB" w:rsidRDefault="00BB69DB">
            <w:pPr>
              <w:keepNext/>
              <w:keepLines/>
              <w:jc w:val="right"/>
            </w:pPr>
            <w:r>
              <w:rPr>
                <w:sz w:val="18"/>
              </w:rPr>
              <w:t>134.215.570,17</w:t>
            </w:r>
          </w:p>
        </w:tc>
        <w:tc>
          <w:tcPr>
            <w:tcW w:w="700" w:type="dxa"/>
            <w:tcMar>
              <w:top w:w="0" w:type="dxa"/>
              <w:bottom w:w="0" w:type="dxa"/>
            </w:tcMar>
            <w:vAlign w:val="center"/>
          </w:tcPr>
          <w:p w14:paraId="1CCF6DB4" w14:textId="77777777" w:rsidR="00BB69DB" w:rsidRDefault="00BB69DB">
            <w:pPr>
              <w:keepNext/>
              <w:keepLines/>
              <w:jc w:val="right"/>
            </w:pPr>
            <w:r>
              <w:rPr>
                <w:sz w:val="18"/>
              </w:rPr>
              <w:t>123,7</w:t>
            </w:r>
          </w:p>
        </w:tc>
      </w:tr>
      <w:tr w:rsidR="00BB69DB" w14:paraId="21817D12" w14:textId="77777777">
        <w:trPr>
          <w:cantSplit/>
          <w:trHeight w:val="560"/>
        </w:trPr>
        <w:tc>
          <w:tcPr>
            <w:tcW w:w="700" w:type="dxa"/>
            <w:tcMar>
              <w:top w:w="0" w:type="dxa"/>
              <w:bottom w:w="0" w:type="dxa"/>
            </w:tcMar>
            <w:vAlign w:val="center"/>
          </w:tcPr>
          <w:p w14:paraId="722D1F0A" w14:textId="77777777" w:rsidR="00BB69DB" w:rsidRDefault="00BB69DB">
            <w:pPr>
              <w:keepNext/>
              <w:keepLines/>
            </w:pPr>
            <w:r>
              <w:rPr>
                <w:sz w:val="18"/>
              </w:rPr>
              <w:t>5</w:t>
            </w:r>
          </w:p>
        </w:tc>
        <w:tc>
          <w:tcPr>
            <w:tcW w:w="3180" w:type="dxa"/>
            <w:tcMar>
              <w:top w:w="0" w:type="dxa"/>
              <w:bottom w:w="0" w:type="dxa"/>
            </w:tcMar>
            <w:vAlign w:val="center"/>
          </w:tcPr>
          <w:p w14:paraId="480CC72E" w14:textId="77777777" w:rsidR="00BB69DB" w:rsidRDefault="00BB69DB">
            <w:pPr>
              <w:keepNext/>
              <w:keepLines/>
            </w:pPr>
            <w:r>
              <w:rPr>
                <w:sz w:val="18"/>
              </w:rPr>
              <w:t>Izdaci za financijsku imovinu i otplate zajmova (šifre 51+52+53+54+55)</w:t>
            </w:r>
          </w:p>
        </w:tc>
        <w:tc>
          <w:tcPr>
            <w:tcW w:w="700" w:type="dxa"/>
            <w:tcMar>
              <w:top w:w="0" w:type="dxa"/>
              <w:bottom w:w="0" w:type="dxa"/>
            </w:tcMar>
            <w:vAlign w:val="center"/>
          </w:tcPr>
          <w:p w14:paraId="2D4215FD" w14:textId="77777777" w:rsidR="00BB69DB" w:rsidRDefault="00BB69DB">
            <w:pPr>
              <w:keepNext/>
              <w:keepLines/>
            </w:pPr>
            <w:r>
              <w:rPr>
                <w:sz w:val="18"/>
              </w:rPr>
              <w:t>5</w:t>
            </w:r>
          </w:p>
        </w:tc>
        <w:tc>
          <w:tcPr>
            <w:tcW w:w="1860" w:type="dxa"/>
            <w:tcMar>
              <w:top w:w="0" w:type="dxa"/>
              <w:bottom w:w="0" w:type="dxa"/>
            </w:tcMar>
            <w:vAlign w:val="center"/>
          </w:tcPr>
          <w:p w14:paraId="5B52626D" w14:textId="77777777" w:rsidR="00BB69DB" w:rsidRDefault="00BB69DB">
            <w:pPr>
              <w:keepNext/>
              <w:keepLines/>
              <w:jc w:val="right"/>
            </w:pPr>
            <w:r>
              <w:rPr>
                <w:sz w:val="18"/>
              </w:rPr>
              <w:t>720.749,60</w:t>
            </w:r>
          </w:p>
        </w:tc>
        <w:tc>
          <w:tcPr>
            <w:tcW w:w="1860" w:type="dxa"/>
            <w:tcMar>
              <w:top w:w="0" w:type="dxa"/>
              <w:bottom w:w="0" w:type="dxa"/>
            </w:tcMar>
            <w:vAlign w:val="center"/>
          </w:tcPr>
          <w:p w14:paraId="0296CF6F" w14:textId="77777777" w:rsidR="00BB69DB" w:rsidRDefault="00BB69DB">
            <w:pPr>
              <w:keepNext/>
              <w:keepLines/>
              <w:jc w:val="right"/>
            </w:pPr>
            <w:r>
              <w:rPr>
                <w:sz w:val="18"/>
              </w:rPr>
              <w:t>28.169.765,10</w:t>
            </w:r>
          </w:p>
        </w:tc>
        <w:tc>
          <w:tcPr>
            <w:tcW w:w="700" w:type="dxa"/>
            <w:tcMar>
              <w:top w:w="0" w:type="dxa"/>
              <w:bottom w:w="0" w:type="dxa"/>
            </w:tcMar>
            <w:vAlign w:val="center"/>
          </w:tcPr>
          <w:p w14:paraId="6EA09503" w14:textId="77777777" w:rsidR="00BB69DB" w:rsidRDefault="00BB69DB">
            <w:pPr>
              <w:keepNext/>
              <w:keepLines/>
              <w:jc w:val="right"/>
            </w:pPr>
            <w:r>
              <w:rPr>
                <w:sz w:val="18"/>
              </w:rPr>
              <w:t>3908,4</w:t>
            </w:r>
          </w:p>
        </w:tc>
      </w:tr>
      <w:tr w:rsidR="00BB69DB" w14:paraId="00FD348E" w14:textId="77777777">
        <w:trPr>
          <w:cantSplit/>
          <w:trHeight w:val="560"/>
        </w:trPr>
        <w:tc>
          <w:tcPr>
            <w:tcW w:w="700" w:type="dxa"/>
            <w:tcMar>
              <w:top w:w="0" w:type="dxa"/>
              <w:bottom w:w="0" w:type="dxa"/>
            </w:tcMar>
            <w:vAlign w:val="center"/>
          </w:tcPr>
          <w:p w14:paraId="7FA7D202" w14:textId="77777777" w:rsidR="00BB69DB" w:rsidRDefault="00BB69DB">
            <w:pPr>
              <w:keepNext/>
              <w:keepLines/>
            </w:pPr>
          </w:p>
        </w:tc>
        <w:tc>
          <w:tcPr>
            <w:tcW w:w="3180" w:type="dxa"/>
            <w:tcMar>
              <w:top w:w="0" w:type="dxa"/>
              <w:bottom w:w="0" w:type="dxa"/>
            </w:tcMar>
            <w:vAlign w:val="center"/>
          </w:tcPr>
          <w:p w14:paraId="643098F3" w14:textId="77777777" w:rsidR="00BB69DB" w:rsidRDefault="00BB69DB">
            <w:pPr>
              <w:keepNext/>
              <w:keepLines/>
            </w:pPr>
            <w:r>
              <w:rPr>
                <w:b/>
                <w:sz w:val="18"/>
              </w:rPr>
              <w:t>VIŠAK PRIMITAKA OD FINANCIJSKE IMOVINE I ZADUŽIVANJA (šifre 8-5)</w:t>
            </w:r>
          </w:p>
        </w:tc>
        <w:tc>
          <w:tcPr>
            <w:tcW w:w="700" w:type="dxa"/>
            <w:tcMar>
              <w:top w:w="0" w:type="dxa"/>
              <w:bottom w:w="0" w:type="dxa"/>
            </w:tcMar>
            <w:vAlign w:val="center"/>
          </w:tcPr>
          <w:p w14:paraId="376896CB" w14:textId="77777777" w:rsidR="00BB69DB" w:rsidRDefault="00BB69DB">
            <w:pPr>
              <w:keepNext/>
              <w:keepLines/>
            </w:pPr>
            <w:r>
              <w:rPr>
                <w:b/>
                <w:sz w:val="18"/>
              </w:rPr>
              <w:t>X003</w:t>
            </w:r>
          </w:p>
        </w:tc>
        <w:tc>
          <w:tcPr>
            <w:tcW w:w="1860" w:type="dxa"/>
            <w:tcMar>
              <w:top w:w="0" w:type="dxa"/>
              <w:bottom w:w="0" w:type="dxa"/>
            </w:tcMar>
            <w:vAlign w:val="center"/>
          </w:tcPr>
          <w:p w14:paraId="426DAE88" w14:textId="77777777" w:rsidR="00BB69DB" w:rsidRDefault="00BB69DB">
            <w:pPr>
              <w:keepNext/>
              <w:keepLines/>
              <w:jc w:val="right"/>
            </w:pPr>
            <w:r>
              <w:rPr>
                <w:b/>
                <w:sz w:val="18"/>
              </w:rPr>
              <w:t>107.779.250,40</w:t>
            </w:r>
          </w:p>
        </w:tc>
        <w:tc>
          <w:tcPr>
            <w:tcW w:w="1860" w:type="dxa"/>
            <w:tcMar>
              <w:top w:w="0" w:type="dxa"/>
              <w:bottom w:w="0" w:type="dxa"/>
            </w:tcMar>
            <w:vAlign w:val="center"/>
          </w:tcPr>
          <w:p w14:paraId="04CD6782" w14:textId="77777777" w:rsidR="00BB69DB" w:rsidRDefault="00BB69DB">
            <w:pPr>
              <w:keepNext/>
              <w:keepLines/>
              <w:jc w:val="right"/>
            </w:pPr>
            <w:r>
              <w:rPr>
                <w:b/>
                <w:sz w:val="18"/>
              </w:rPr>
              <w:t>106.045.805,07</w:t>
            </w:r>
          </w:p>
        </w:tc>
        <w:tc>
          <w:tcPr>
            <w:tcW w:w="700" w:type="dxa"/>
            <w:tcMar>
              <w:top w:w="0" w:type="dxa"/>
              <w:bottom w:w="0" w:type="dxa"/>
            </w:tcMar>
            <w:vAlign w:val="center"/>
          </w:tcPr>
          <w:p w14:paraId="5708A05F" w14:textId="77777777" w:rsidR="00BB69DB" w:rsidRDefault="00BB69DB">
            <w:pPr>
              <w:keepNext/>
              <w:keepLines/>
              <w:jc w:val="right"/>
            </w:pPr>
            <w:r>
              <w:rPr>
                <w:b/>
                <w:sz w:val="18"/>
              </w:rPr>
              <w:t>98,4</w:t>
            </w:r>
          </w:p>
        </w:tc>
      </w:tr>
      <w:tr w:rsidR="00BB69DB" w14:paraId="50978AB8" w14:textId="77777777">
        <w:trPr>
          <w:cantSplit/>
          <w:trHeight w:val="560"/>
        </w:trPr>
        <w:tc>
          <w:tcPr>
            <w:tcW w:w="700" w:type="dxa"/>
            <w:tcMar>
              <w:top w:w="0" w:type="dxa"/>
              <w:bottom w:w="0" w:type="dxa"/>
            </w:tcMar>
            <w:vAlign w:val="center"/>
          </w:tcPr>
          <w:p w14:paraId="0CD5EF79" w14:textId="77777777" w:rsidR="00BB69DB" w:rsidRDefault="00BB69DB">
            <w:pPr>
              <w:keepNext/>
              <w:keepLines/>
            </w:pPr>
          </w:p>
        </w:tc>
        <w:tc>
          <w:tcPr>
            <w:tcW w:w="3180" w:type="dxa"/>
            <w:tcMar>
              <w:top w:w="0" w:type="dxa"/>
              <w:bottom w:w="0" w:type="dxa"/>
            </w:tcMar>
            <w:vAlign w:val="center"/>
          </w:tcPr>
          <w:p w14:paraId="0650BE2B" w14:textId="77777777" w:rsidR="00BB69DB" w:rsidRDefault="00BB69DB">
            <w:pPr>
              <w:keepNext/>
              <w:keepLines/>
            </w:pPr>
            <w:r>
              <w:rPr>
                <w:b/>
                <w:sz w:val="18"/>
              </w:rPr>
              <w:t>MANJAK PRIHODA I PRIMITAKA (šifre Y345-X678)</w:t>
            </w:r>
          </w:p>
        </w:tc>
        <w:tc>
          <w:tcPr>
            <w:tcW w:w="700" w:type="dxa"/>
            <w:tcMar>
              <w:top w:w="0" w:type="dxa"/>
              <w:bottom w:w="0" w:type="dxa"/>
            </w:tcMar>
            <w:vAlign w:val="center"/>
          </w:tcPr>
          <w:p w14:paraId="629C21FE" w14:textId="77777777" w:rsidR="00BB69DB" w:rsidRDefault="00BB69DB">
            <w:pPr>
              <w:keepNext/>
              <w:keepLines/>
            </w:pPr>
            <w:r>
              <w:rPr>
                <w:b/>
                <w:sz w:val="18"/>
              </w:rPr>
              <w:t>Y005</w:t>
            </w:r>
          </w:p>
        </w:tc>
        <w:tc>
          <w:tcPr>
            <w:tcW w:w="1860" w:type="dxa"/>
            <w:tcMar>
              <w:top w:w="0" w:type="dxa"/>
              <w:bottom w:w="0" w:type="dxa"/>
            </w:tcMar>
            <w:vAlign w:val="center"/>
          </w:tcPr>
          <w:p w14:paraId="1AD0EF78" w14:textId="77777777" w:rsidR="00BB69DB" w:rsidRDefault="00BB69DB">
            <w:pPr>
              <w:keepNext/>
              <w:keepLines/>
              <w:jc w:val="right"/>
            </w:pPr>
            <w:r>
              <w:rPr>
                <w:b/>
                <w:sz w:val="18"/>
              </w:rPr>
              <w:t>0,00</w:t>
            </w:r>
          </w:p>
        </w:tc>
        <w:tc>
          <w:tcPr>
            <w:tcW w:w="1860" w:type="dxa"/>
            <w:tcMar>
              <w:top w:w="0" w:type="dxa"/>
              <w:bottom w:w="0" w:type="dxa"/>
            </w:tcMar>
            <w:vAlign w:val="center"/>
          </w:tcPr>
          <w:p w14:paraId="5C7F96D3" w14:textId="77777777" w:rsidR="00BB69DB" w:rsidRDefault="00BB69DB">
            <w:pPr>
              <w:keepNext/>
              <w:keepLines/>
              <w:jc w:val="right"/>
            </w:pPr>
            <w:r>
              <w:rPr>
                <w:b/>
                <w:sz w:val="18"/>
              </w:rPr>
              <w:t>4.751.490,59</w:t>
            </w:r>
          </w:p>
        </w:tc>
        <w:tc>
          <w:tcPr>
            <w:tcW w:w="700" w:type="dxa"/>
            <w:tcMar>
              <w:top w:w="0" w:type="dxa"/>
              <w:bottom w:w="0" w:type="dxa"/>
            </w:tcMar>
            <w:vAlign w:val="center"/>
          </w:tcPr>
          <w:p w14:paraId="25C9FA64" w14:textId="77777777" w:rsidR="00BB69DB" w:rsidRDefault="00BB69DB">
            <w:pPr>
              <w:keepNext/>
              <w:keepLines/>
              <w:jc w:val="right"/>
            </w:pPr>
            <w:r>
              <w:rPr>
                <w:b/>
                <w:sz w:val="18"/>
              </w:rPr>
              <w:t>-</w:t>
            </w:r>
          </w:p>
        </w:tc>
      </w:tr>
    </w:tbl>
    <w:p w14:paraId="60B19E1E" w14:textId="77777777" w:rsidR="00BB69DB" w:rsidRDefault="00BB69DB"/>
    <w:p w14:paraId="190BC69C" w14:textId="77777777" w:rsidR="00BB69DB" w:rsidRDefault="00BB69DB" w:rsidP="00BB69DB">
      <w:pPr>
        <w:jc w:val="both"/>
      </w:pPr>
      <w:r>
        <w:t xml:space="preserve">U 2025. godini ostvaren je manjak prihoda i primitaka u iznosu od 4.751.490,59 EUR. Na izvoru 11 ostvaren je manjak u iznosu od 19.230.275,46 EUR. Budući da je ukinuta podskupina konta 193 Kontinuirani rashodi budućih razdoblja, rashodi su evidentirani u 2025. na A587082 Izuzeto javno dobro za obveze koje dospijevaju u 2026. i 2027. godini (21,4 </w:t>
      </w:r>
      <w:proofErr w:type="spellStart"/>
      <w:r>
        <w:t>mil</w:t>
      </w:r>
      <w:proofErr w:type="spellEnd"/>
      <w:r>
        <w:t xml:space="preserve"> EUR), a prema Odluci o prihvaćanju nagodbe između Republike Hrvatske i društva HŽ </w:t>
      </w:r>
      <w:proofErr w:type="spellStart"/>
      <w:r>
        <w:t>Cargo</w:t>
      </w:r>
      <w:proofErr w:type="spellEnd"/>
      <w:r>
        <w:t xml:space="preserve"> d.o.o.</w:t>
      </w:r>
    </w:p>
    <w:p w14:paraId="73CEFCC0" w14:textId="77777777" w:rsidR="00BB69DB" w:rsidRDefault="00BB69DB" w:rsidP="00BB69DB">
      <w:pPr>
        <w:jc w:val="both"/>
      </w:pPr>
      <w:r>
        <w:t>Na izvoru 12 ostvaren je višak prihoda u iznosu od 2.252.997,64 EUR (isplaćeni su avansi). Na izvoru 31 ostvaren je manjak prihoda u iznosu od 2.789,36 EUR. Na izvoru 43 ostvaren je višak prihoda u iznosu od 395.628,71 EUR. Na izvoru 51 ostvaren je manjak prihoda u iznosu od 264.529,42 EUR. Na izvoru 559 ostvaren je višak u iznosu od 4.439,96 EUR. Na izvoru 52 ostvaren je višak prihoda u iznosu od 379.156,46 EUR (MUP je Ministarstvu prenio sredstva u iznosu od 1.146.500,00 EUR, a utrošeno je 767.343,54 EUR).</w:t>
      </w:r>
    </w:p>
    <w:p w14:paraId="66C346C9" w14:textId="77777777" w:rsidR="00BB69DB" w:rsidRDefault="00BB69DB" w:rsidP="00BB69DB">
      <w:pPr>
        <w:jc w:val="both"/>
      </w:pPr>
      <w:r>
        <w:t xml:space="preserve">Na izvorima 562, 563 i 581 ostvaren je višak prihoda u iznosu od 22.239.310,71 EUR – isplaćeni su avansi. Na izvoru 810 ostvaren je manjak u iznosu od 10.525.429,83 EUR (iz 2024. prenesen </w:t>
      </w:r>
      <w:r>
        <w:lastRenderedPageBreak/>
        <w:t>je višak primitaka od financijske imovine u iznosu od 10.525.429,83 EUR koji je trošen u 2025. godini).</w:t>
      </w:r>
    </w:p>
    <w:p w14:paraId="6C7F82BB" w14:textId="77777777" w:rsidR="00BB69DB" w:rsidRDefault="00BB69DB">
      <w:r>
        <w:br/>
      </w:r>
    </w:p>
    <w:p w14:paraId="72C7277B" w14:textId="77777777" w:rsidR="00BB69DB" w:rsidRDefault="00BB69DB">
      <w:pPr>
        <w:keepNext/>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69DB" w14:paraId="34FDC4DE" w14:textId="77777777">
        <w:trPr>
          <w:cantSplit/>
        </w:trPr>
        <w:tc>
          <w:tcPr>
            <w:tcW w:w="700" w:type="dxa"/>
            <w:shd w:val="clear" w:color="auto" w:fill="E7F0F9"/>
            <w:tcMar>
              <w:top w:w="0" w:type="dxa"/>
              <w:bottom w:w="0" w:type="dxa"/>
            </w:tcMar>
            <w:vAlign w:val="center"/>
          </w:tcPr>
          <w:p w14:paraId="5D429B15" w14:textId="77777777" w:rsidR="00BB69DB" w:rsidRDefault="00BB69DB">
            <w:pPr>
              <w:keepNext/>
              <w:keepLines/>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446924" w14:textId="77777777" w:rsidR="00BB69DB" w:rsidRDefault="00BB69DB">
            <w:pPr>
              <w:keepNext/>
              <w:keepLines/>
              <w:jc w:val="center"/>
            </w:pPr>
            <w:r>
              <w:rPr>
                <w:b/>
                <w:sz w:val="18"/>
              </w:rPr>
              <w:t>Opis stavke</w:t>
            </w:r>
          </w:p>
        </w:tc>
        <w:tc>
          <w:tcPr>
            <w:tcW w:w="700" w:type="dxa"/>
            <w:shd w:val="clear" w:color="auto" w:fill="E7F0F9"/>
            <w:tcMar>
              <w:top w:w="0" w:type="dxa"/>
              <w:bottom w:w="0" w:type="dxa"/>
            </w:tcMar>
            <w:vAlign w:val="center"/>
          </w:tcPr>
          <w:p w14:paraId="5E827539" w14:textId="77777777" w:rsidR="00BB69DB" w:rsidRDefault="00BB69DB">
            <w:pPr>
              <w:keepNext/>
              <w:keepLines/>
              <w:jc w:val="center"/>
            </w:pPr>
            <w:r>
              <w:rPr>
                <w:b/>
                <w:sz w:val="18"/>
              </w:rPr>
              <w:t>Šifra</w:t>
            </w:r>
          </w:p>
        </w:tc>
        <w:tc>
          <w:tcPr>
            <w:tcW w:w="1860" w:type="dxa"/>
            <w:shd w:val="clear" w:color="auto" w:fill="E7F0F9"/>
            <w:tcMar>
              <w:top w:w="0" w:type="dxa"/>
              <w:bottom w:w="0" w:type="dxa"/>
            </w:tcMar>
            <w:vAlign w:val="center"/>
          </w:tcPr>
          <w:p w14:paraId="4DD8022B" w14:textId="77777777" w:rsidR="00BB69DB" w:rsidRDefault="00BB69DB">
            <w:pPr>
              <w:keepNext/>
              <w:keepLines/>
              <w:jc w:val="center"/>
            </w:pPr>
            <w:r>
              <w:rPr>
                <w:b/>
                <w:sz w:val="18"/>
              </w:rPr>
              <w:t>Ostvareno u izvještajnom razdoblju prethodne godine</w:t>
            </w:r>
          </w:p>
        </w:tc>
        <w:tc>
          <w:tcPr>
            <w:tcW w:w="1860" w:type="dxa"/>
            <w:shd w:val="clear" w:color="auto" w:fill="E7F0F9"/>
            <w:tcMar>
              <w:top w:w="0" w:type="dxa"/>
              <w:bottom w:w="0" w:type="dxa"/>
            </w:tcMar>
            <w:vAlign w:val="center"/>
          </w:tcPr>
          <w:p w14:paraId="72D80C20" w14:textId="77777777" w:rsidR="00BB69DB" w:rsidRDefault="00BB69DB">
            <w:pPr>
              <w:keepNext/>
              <w:keepLines/>
              <w:jc w:val="center"/>
            </w:pPr>
            <w:r>
              <w:rPr>
                <w:b/>
                <w:sz w:val="18"/>
              </w:rPr>
              <w:t>Ostvareno u izvještajnom razdoblju tekuće godine</w:t>
            </w:r>
          </w:p>
        </w:tc>
        <w:tc>
          <w:tcPr>
            <w:tcW w:w="700" w:type="dxa"/>
            <w:shd w:val="clear" w:color="auto" w:fill="E7F0F9"/>
            <w:tcMar>
              <w:top w:w="0" w:type="dxa"/>
              <w:bottom w:w="0" w:type="dxa"/>
            </w:tcMar>
            <w:vAlign w:val="center"/>
          </w:tcPr>
          <w:p w14:paraId="65562607" w14:textId="77777777" w:rsidR="00BB69DB" w:rsidRDefault="00BB69DB">
            <w:pPr>
              <w:keepNext/>
              <w:keepLines/>
              <w:jc w:val="center"/>
            </w:pPr>
            <w:r>
              <w:rPr>
                <w:b/>
                <w:sz w:val="18"/>
              </w:rPr>
              <w:t>Indeks (%)</w:t>
            </w:r>
          </w:p>
        </w:tc>
      </w:tr>
      <w:tr w:rsidR="00BB69DB" w14:paraId="2053CEF7" w14:textId="77777777">
        <w:trPr>
          <w:cantSplit/>
          <w:trHeight w:val="560"/>
        </w:trPr>
        <w:tc>
          <w:tcPr>
            <w:tcW w:w="700" w:type="dxa"/>
            <w:tcMar>
              <w:top w:w="0" w:type="dxa"/>
              <w:bottom w:w="0" w:type="dxa"/>
            </w:tcMar>
            <w:vAlign w:val="center"/>
          </w:tcPr>
          <w:p w14:paraId="067648D3" w14:textId="77777777" w:rsidR="00BB69DB" w:rsidRDefault="00BB69DB">
            <w:pPr>
              <w:keepNext/>
              <w:keepLines/>
            </w:pPr>
            <w:r>
              <w:rPr>
                <w:sz w:val="18"/>
              </w:rPr>
              <w:t>63</w:t>
            </w:r>
          </w:p>
        </w:tc>
        <w:tc>
          <w:tcPr>
            <w:tcW w:w="3180" w:type="dxa"/>
            <w:tcMar>
              <w:top w:w="0" w:type="dxa"/>
              <w:bottom w:w="0" w:type="dxa"/>
            </w:tcMar>
            <w:vAlign w:val="center"/>
          </w:tcPr>
          <w:p w14:paraId="02D487C5" w14:textId="77777777" w:rsidR="00BB69DB" w:rsidRDefault="00BB69DB">
            <w:pPr>
              <w:keepNext/>
              <w:keepLines/>
            </w:pPr>
            <w:r>
              <w:rPr>
                <w:sz w:val="18"/>
              </w:rPr>
              <w:t>Pomoći iz inozemstva i od subjekata unutar općeg proračuna (šifre 631+632+633+634+635+636+637+638+639)</w:t>
            </w:r>
          </w:p>
        </w:tc>
        <w:tc>
          <w:tcPr>
            <w:tcW w:w="700" w:type="dxa"/>
            <w:tcMar>
              <w:top w:w="0" w:type="dxa"/>
              <w:bottom w:w="0" w:type="dxa"/>
            </w:tcMar>
            <w:vAlign w:val="center"/>
          </w:tcPr>
          <w:p w14:paraId="2E693E20" w14:textId="77777777" w:rsidR="00BB69DB" w:rsidRDefault="00BB69DB">
            <w:pPr>
              <w:keepNext/>
              <w:keepLines/>
            </w:pPr>
            <w:r>
              <w:rPr>
                <w:sz w:val="18"/>
              </w:rPr>
              <w:t>63</w:t>
            </w:r>
          </w:p>
        </w:tc>
        <w:tc>
          <w:tcPr>
            <w:tcW w:w="1860" w:type="dxa"/>
            <w:tcMar>
              <w:top w:w="0" w:type="dxa"/>
              <w:bottom w:w="0" w:type="dxa"/>
            </w:tcMar>
            <w:vAlign w:val="center"/>
          </w:tcPr>
          <w:p w14:paraId="168115E4" w14:textId="77777777" w:rsidR="00BB69DB" w:rsidRDefault="00BB69DB">
            <w:pPr>
              <w:keepNext/>
              <w:keepLines/>
              <w:jc w:val="right"/>
            </w:pPr>
            <w:r>
              <w:rPr>
                <w:sz w:val="18"/>
              </w:rPr>
              <w:t>142.881.359,49</w:t>
            </w:r>
          </w:p>
        </w:tc>
        <w:tc>
          <w:tcPr>
            <w:tcW w:w="1860" w:type="dxa"/>
            <w:tcMar>
              <w:top w:w="0" w:type="dxa"/>
              <w:bottom w:w="0" w:type="dxa"/>
            </w:tcMar>
            <w:vAlign w:val="center"/>
          </w:tcPr>
          <w:p w14:paraId="71318226" w14:textId="77777777" w:rsidR="00BB69DB" w:rsidRDefault="00BB69DB">
            <w:pPr>
              <w:keepNext/>
              <w:keepLines/>
              <w:jc w:val="right"/>
            </w:pPr>
            <w:r>
              <w:rPr>
                <w:sz w:val="18"/>
              </w:rPr>
              <w:t>1.685.993,96</w:t>
            </w:r>
          </w:p>
        </w:tc>
        <w:tc>
          <w:tcPr>
            <w:tcW w:w="700" w:type="dxa"/>
            <w:tcMar>
              <w:top w:w="0" w:type="dxa"/>
              <w:bottom w:w="0" w:type="dxa"/>
            </w:tcMar>
            <w:vAlign w:val="center"/>
          </w:tcPr>
          <w:p w14:paraId="135AE019" w14:textId="77777777" w:rsidR="00BB69DB" w:rsidRDefault="00BB69DB">
            <w:pPr>
              <w:keepNext/>
              <w:keepLines/>
              <w:jc w:val="right"/>
            </w:pPr>
            <w:r>
              <w:rPr>
                <w:sz w:val="18"/>
              </w:rPr>
              <w:t>1,2</w:t>
            </w:r>
          </w:p>
        </w:tc>
      </w:tr>
    </w:tbl>
    <w:p w14:paraId="4A378FD4" w14:textId="77777777" w:rsidR="00BB69DB" w:rsidRDefault="00BB69DB"/>
    <w:p w14:paraId="50959766" w14:textId="77777777" w:rsidR="00BB69DB" w:rsidRDefault="00BB69DB" w:rsidP="00BB69DB">
      <w:pPr>
        <w:jc w:val="both"/>
      </w:pPr>
      <w:r>
        <w:t>Ostvareni prihodi od međunarodnih organizacija te institucija i tijela EU odnose se na povrat putnih troškova delegata Europskog vijeća i Vijeća EU. Za EU projekte, za koje su ranijih godina primljeni predujmovi koji su u trenutku uplate evidentirani kao prihodi i na dan 1.1.2025. su bili evidentirani na prenesenom višku prihoda, priznati  su prihodi iz višaka  prihoda ranijih godina u visini nastalih rashoda na dan 31.12.2024.</w:t>
      </w:r>
    </w:p>
    <w:p w14:paraId="15DE06AA" w14:textId="77777777" w:rsidR="00BB69DB" w:rsidRDefault="00BB69DB" w:rsidP="00BB69DB">
      <w:pPr>
        <w:jc w:val="both"/>
      </w:pPr>
      <w:r>
        <w:t>639 Prijenosi između proračunskih korisnika istog proračuna: Temeljem Sporazuma o financiranju odobrenih projekata i nabavu opreme, a sukladno planu potreba Nacionalnog plana sigurnosti cestovnog prometa RH, MUP je Ministarstvu prenio sredstva u iznosu od 1.146.500,00 EUR.</w:t>
      </w:r>
    </w:p>
    <w:p w14:paraId="01B25CBC" w14:textId="77777777" w:rsidR="00BB69DB" w:rsidRDefault="00BB69DB" w:rsidP="00BB69DB">
      <w:pPr>
        <w:jc w:val="both"/>
      </w:pPr>
      <w:r>
        <w:t>Sukladno odredbama novog Pravilnika o proračunskom računovodstvu i računskom planu (NN 158/2023) prihodi ostvareni iz Državnog proračuna za podmirenje obveza po projektima koji se financiraju iz EU sredstava, izvor 562, 563 i 581, evidentirani su u razredu 67, te su ostvareni prihodi u 2025. znatno manji u odnosu na 2024. godinu.</w:t>
      </w:r>
    </w:p>
    <w:p w14:paraId="329C5BE2" w14:textId="77777777" w:rsidR="00BB69DB" w:rsidRDefault="00BB69DB"/>
    <w:p w14:paraId="337DC0CD" w14:textId="77777777" w:rsidR="00BB69DB" w:rsidRDefault="00BB69DB">
      <w:pPr>
        <w:keepNext/>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69DB" w14:paraId="1490E8EB" w14:textId="77777777">
        <w:trPr>
          <w:cantSplit/>
        </w:trPr>
        <w:tc>
          <w:tcPr>
            <w:tcW w:w="700" w:type="dxa"/>
            <w:shd w:val="clear" w:color="auto" w:fill="E7F0F9"/>
            <w:tcMar>
              <w:top w:w="0" w:type="dxa"/>
              <w:bottom w:w="0" w:type="dxa"/>
            </w:tcMar>
            <w:vAlign w:val="center"/>
          </w:tcPr>
          <w:p w14:paraId="7A5A3ED4" w14:textId="77777777" w:rsidR="00BB69DB" w:rsidRDefault="00BB69DB">
            <w:pPr>
              <w:keepNext/>
              <w:keepLines/>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293A5B" w14:textId="77777777" w:rsidR="00BB69DB" w:rsidRDefault="00BB69DB">
            <w:pPr>
              <w:keepNext/>
              <w:keepLines/>
              <w:jc w:val="center"/>
            </w:pPr>
            <w:r>
              <w:rPr>
                <w:b/>
                <w:sz w:val="18"/>
              </w:rPr>
              <w:t>Opis stavke</w:t>
            </w:r>
          </w:p>
        </w:tc>
        <w:tc>
          <w:tcPr>
            <w:tcW w:w="700" w:type="dxa"/>
            <w:shd w:val="clear" w:color="auto" w:fill="E7F0F9"/>
            <w:tcMar>
              <w:top w:w="0" w:type="dxa"/>
              <w:bottom w:w="0" w:type="dxa"/>
            </w:tcMar>
            <w:vAlign w:val="center"/>
          </w:tcPr>
          <w:p w14:paraId="0FB0B244" w14:textId="77777777" w:rsidR="00BB69DB" w:rsidRDefault="00BB69DB">
            <w:pPr>
              <w:keepNext/>
              <w:keepLines/>
              <w:jc w:val="center"/>
            </w:pPr>
            <w:r>
              <w:rPr>
                <w:b/>
                <w:sz w:val="18"/>
              </w:rPr>
              <w:t>Šifra</w:t>
            </w:r>
          </w:p>
        </w:tc>
        <w:tc>
          <w:tcPr>
            <w:tcW w:w="1860" w:type="dxa"/>
            <w:shd w:val="clear" w:color="auto" w:fill="E7F0F9"/>
            <w:tcMar>
              <w:top w:w="0" w:type="dxa"/>
              <w:bottom w:w="0" w:type="dxa"/>
            </w:tcMar>
            <w:vAlign w:val="center"/>
          </w:tcPr>
          <w:p w14:paraId="08B3A243" w14:textId="77777777" w:rsidR="00BB69DB" w:rsidRDefault="00BB69DB">
            <w:pPr>
              <w:keepNext/>
              <w:keepLines/>
              <w:jc w:val="center"/>
            </w:pPr>
            <w:r>
              <w:rPr>
                <w:b/>
                <w:sz w:val="18"/>
              </w:rPr>
              <w:t>Ostvareno u izvještajnom razdoblju prethodne godine</w:t>
            </w:r>
          </w:p>
        </w:tc>
        <w:tc>
          <w:tcPr>
            <w:tcW w:w="1860" w:type="dxa"/>
            <w:shd w:val="clear" w:color="auto" w:fill="E7F0F9"/>
            <w:tcMar>
              <w:top w:w="0" w:type="dxa"/>
              <w:bottom w:w="0" w:type="dxa"/>
            </w:tcMar>
            <w:vAlign w:val="center"/>
          </w:tcPr>
          <w:p w14:paraId="6E64A9B9" w14:textId="77777777" w:rsidR="00BB69DB" w:rsidRDefault="00BB69DB">
            <w:pPr>
              <w:keepNext/>
              <w:keepLines/>
              <w:jc w:val="center"/>
            </w:pPr>
            <w:r>
              <w:rPr>
                <w:b/>
                <w:sz w:val="18"/>
              </w:rPr>
              <w:t>Ostvareno u izvještajnom razdoblju tekuće godine</w:t>
            </w:r>
          </w:p>
        </w:tc>
        <w:tc>
          <w:tcPr>
            <w:tcW w:w="700" w:type="dxa"/>
            <w:shd w:val="clear" w:color="auto" w:fill="E7F0F9"/>
            <w:tcMar>
              <w:top w:w="0" w:type="dxa"/>
              <w:bottom w:w="0" w:type="dxa"/>
            </w:tcMar>
            <w:vAlign w:val="center"/>
          </w:tcPr>
          <w:p w14:paraId="26CFFFB1" w14:textId="77777777" w:rsidR="00BB69DB" w:rsidRDefault="00BB69DB">
            <w:pPr>
              <w:keepNext/>
              <w:keepLines/>
              <w:jc w:val="center"/>
            </w:pPr>
            <w:r>
              <w:rPr>
                <w:b/>
                <w:sz w:val="18"/>
              </w:rPr>
              <w:t>Indeks (%)</w:t>
            </w:r>
          </w:p>
        </w:tc>
      </w:tr>
      <w:tr w:rsidR="00BB69DB" w14:paraId="005F2047" w14:textId="77777777">
        <w:trPr>
          <w:cantSplit/>
          <w:trHeight w:val="560"/>
        </w:trPr>
        <w:tc>
          <w:tcPr>
            <w:tcW w:w="700" w:type="dxa"/>
            <w:tcMar>
              <w:top w:w="0" w:type="dxa"/>
              <w:bottom w:w="0" w:type="dxa"/>
            </w:tcMar>
            <w:vAlign w:val="center"/>
          </w:tcPr>
          <w:p w14:paraId="16443B04" w14:textId="77777777" w:rsidR="00BB69DB" w:rsidRDefault="00BB69DB">
            <w:pPr>
              <w:keepNext/>
              <w:keepLines/>
            </w:pPr>
            <w:r>
              <w:rPr>
                <w:sz w:val="18"/>
              </w:rPr>
              <w:t>65</w:t>
            </w:r>
          </w:p>
        </w:tc>
        <w:tc>
          <w:tcPr>
            <w:tcW w:w="3180" w:type="dxa"/>
            <w:tcMar>
              <w:top w:w="0" w:type="dxa"/>
              <w:bottom w:w="0" w:type="dxa"/>
            </w:tcMar>
            <w:vAlign w:val="center"/>
          </w:tcPr>
          <w:p w14:paraId="5298D268" w14:textId="77777777" w:rsidR="00BB69DB" w:rsidRDefault="00BB69DB">
            <w:pPr>
              <w:keepNext/>
              <w:keepLines/>
            </w:pPr>
            <w:r>
              <w:rPr>
                <w:sz w:val="18"/>
              </w:rPr>
              <w:t>Prihodi od upravnih i administrativnih pristojbi, pristojbi po posebnim propisima i naknada (šifre 651+652+653+654)</w:t>
            </w:r>
          </w:p>
        </w:tc>
        <w:tc>
          <w:tcPr>
            <w:tcW w:w="700" w:type="dxa"/>
            <w:tcMar>
              <w:top w:w="0" w:type="dxa"/>
              <w:bottom w:w="0" w:type="dxa"/>
            </w:tcMar>
            <w:vAlign w:val="center"/>
          </w:tcPr>
          <w:p w14:paraId="4BCCC456" w14:textId="77777777" w:rsidR="00BB69DB" w:rsidRDefault="00BB69DB">
            <w:pPr>
              <w:keepNext/>
              <w:keepLines/>
            </w:pPr>
            <w:r>
              <w:rPr>
                <w:sz w:val="18"/>
              </w:rPr>
              <w:t>65</w:t>
            </w:r>
          </w:p>
        </w:tc>
        <w:tc>
          <w:tcPr>
            <w:tcW w:w="1860" w:type="dxa"/>
            <w:tcMar>
              <w:top w:w="0" w:type="dxa"/>
              <w:bottom w:w="0" w:type="dxa"/>
            </w:tcMar>
            <w:vAlign w:val="center"/>
          </w:tcPr>
          <w:p w14:paraId="0994E7F2" w14:textId="77777777" w:rsidR="00BB69DB" w:rsidRDefault="00BB69DB">
            <w:pPr>
              <w:keepNext/>
              <w:keepLines/>
              <w:jc w:val="right"/>
            </w:pPr>
            <w:r>
              <w:rPr>
                <w:sz w:val="18"/>
              </w:rPr>
              <w:t>5.263.921,64</w:t>
            </w:r>
          </w:p>
        </w:tc>
        <w:tc>
          <w:tcPr>
            <w:tcW w:w="1860" w:type="dxa"/>
            <w:tcMar>
              <w:top w:w="0" w:type="dxa"/>
              <w:bottom w:w="0" w:type="dxa"/>
            </w:tcMar>
            <w:vAlign w:val="center"/>
          </w:tcPr>
          <w:p w14:paraId="3092D414" w14:textId="77777777" w:rsidR="00BB69DB" w:rsidRDefault="00BB69DB">
            <w:pPr>
              <w:keepNext/>
              <w:keepLines/>
              <w:jc w:val="right"/>
            </w:pPr>
            <w:r>
              <w:rPr>
                <w:sz w:val="18"/>
              </w:rPr>
              <w:t>4.904.041,94</w:t>
            </w:r>
          </w:p>
        </w:tc>
        <w:tc>
          <w:tcPr>
            <w:tcW w:w="700" w:type="dxa"/>
            <w:tcMar>
              <w:top w:w="0" w:type="dxa"/>
              <w:bottom w:w="0" w:type="dxa"/>
            </w:tcMar>
            <w:vAlign w:val="center"/>
          </w:tcPr>
          <w:p w14:paraId="0BDEE0B4" w14:textId="77777777" w:rsidR="00BB69DB" w:rsidRDefault="00BB69DB">
            <w:pPr>
              <w:keepNext/>
              <w:keepLines/>
              <w:jc w:val="right"/>
            </w:pPr>
            <w:r>
              <w:rPr>
                <w:sz w:val="18"/>
              </w:rPr>
              <w:t>93,2</w:t>
            </w:r>
          </w:p>
        </w:tc>
      </w:tr>
    </w:tbl>
    <w:p w14:paraId="5C65F0D3" w14:textId="77777777" w:rsidR="00BB69DB" w:rsidRDefault="00BB69DB"/>
    <w:p w14:paraId="4DD4AEDC" w14:textId="77777777" w:rsidR="00BB69DB" w:rsidRDefault="00BB69DB" w:rsidP="00BB69DB">
      <w:pPr>
        <w:jc w:val="both"/>
      </w:pPr>
      <w:r>
        <w:t>Ostvareni prihodi po posebnim propisima odnose se na prihode uplaćene u Državni proračun na RKP Ministarstva za namjenske prihode za sigurnost plovidbe (2.840.118,28 EUR) i na prihode od izobrazbe pomoraca, odnosno organizaciju i održavanje ispita za pomorce (2.063.923,66 EUR) koji su, sukladno Pomorskom zakoniku, definirani kao namjenski prihod Ministarstva.</w:t>
      </w:r>
    </w:p>
    <w:p w14:paraId="73451ED6" w14:textId="77777777" w:rsidR="00BB69DB" w:rsidRDefault="00BB69DB" w:rsidP="00BB69DB">
      <w:pPr>
        <w:jc w:val="both"/>
      </w:pPr>
      <w:r>
        <w:t>U 2025. ostvareni su manji prihodu u odnosu na 2024. Razlika u iznosima plaćenih računa se odnosi na vrijeme plaćanja samih računa jer su obračuni naknada za 2024. godinu izdani i plaćeni u 2024., dok su obračuni naknada za 2025. godinu izdani na kraju kalendarske godine 2025. te se može očekivati njihovo plaćanje u početkom 2026.</w:t>
      </w:r>
    </w:p>
    <w:p w14:paraId="3DBCEDAE" w14:textId="77777777" w:rsidR="00BB69DB" w:rsidRDefault="00BB69DB"/>
    <w:p w14:paraId="13F70275" w14:textId="77777777" w:rsidR="00BB69DB" w:rsidRDefault="00BB69DB">
      <w:pPr>
        <w:keepNext/>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69DB" w14:paraId="40A1432A" w14:textId="77777777">
        <w:trPr>
          <w:cantSplit/>
        </w:trPr>
        <w:tc>
          <w:tcPr>
            <w:tcW w:w="700" w:type="dxa"/>
            <w:shd w:val="clear" w:color="auto" w:fill="E7F0F9"/>
            <w:tcMar>
              <w:top w:w="0" w:type="dxa"/>
              <w:bottom w:w="0" w:type="dxa"/>
            </w:tcMar>
            <w:vAlign w:val="center"/>
          </w:tcPr>
          <w:p w14:paraId="0625F89B" w14:textId="77777777" w:rsidR="00BB69DB" w:rsidRDefault="00BB69DB">
            <w:pPr>
              <w:keepNext/>
              <w:keepLines/>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BF0B53" w14:textId="77777777" w:rsidR="00BB69DB" w:rsidRDefault="00BB69DB">
            <w:pPr>
              <w:keepNext/>
              <w:keepLines/>
              <w:jc w:val="center"/>
            </w:pPr>
            <w:r>
              <w:rPr>
                <w:b/>
                <w:sz w:val="18"/>
              </w:rPr>
              <w:t>Opis stavke</w:t>
            </w:r>
          </w:p>
        </w:tc>
        <w:tc>
          <w:tcPr>
            <w:tcW w:w="700" w:type="dxa"/>
            <w:shd w:val="clear" w:color="auto" w:fill="E7F0F9"/>
            <w:tcMar>
              <w:top w:w="0" w:type="dxa"/>
              <w:bottom w:w="0" w:type="dxa"/>
            </w:tcMar>
            <w:vAlign w:val="center"/>
          </w:tcPr>
          <w:p w14:paraId="3122781F" w14:textId="77777777" w:rsidR="00BB69DB" w:rsidRDefault="00BB69DB">
            <w:pPr>
              <w:keepNext/>
              <w:keepLines/>
              <w:jc w:val="center"/>
            </w:pPr>
            <w:r>
              <w:rPr>
                <w:b/>
                <w:sz w:val="18"/>
              </w:rPr>
              <w:t>Šifra</w:t>
            </w:r>
          </w:p>
        </w:tc>
        <w:tc>
          <w:tcPr>
            <w:tcW w:w="1860" w:type="dxa"/>
            <w:shd w:val="clear" w:color="auto" w:fill="E7F0F9"/>
            <w:tcMar>
              <w:top w:w="0" w:type="dxa"/>
              <w:bottom w:w="0" w:type="dxa"/>
            </w:tcMar>
            <w:vAlign w:val="center"/>
          </w:tcPr>
          <w:p w14:paraId="1267189A" w14:textId="77777777" w:rsidR="00BB69DB" w:rsidRDefault="00BB69DB">
            <w:pPr>
              <w:keepNext/>
              <w:keepLines/>
              <w:jc w:val="center"/>
            </w:pPr>
            <w:r>
              <w:rPr>
                <w:b/>
                <w:sz w:val="18"/>
              </w:rPr>
              <w:t>Ostvareno u izvještajnom razdoblju prethodne godine</w:t>
            </w:r>
          </w:p>
        </w:tc>
        <w:tc>
          <w:tcPr>
            <w:tcW w:w="1860" w:type="dxa"/>
            <w:shd w:val="clear" w:color="auto" w:fill="E7F0F9"/>
            <w:tcMar>
              <w:top w:w="0" w:type="dxa"/>
              <w:bottom w:w="0" w:type="dxa"/>
            </w:tcMar>
            <w:vAlign w:val="center"/>
          </w:tcPr>
          <w:p w14:paraId="18278F89" w14:textId="77777777" w:rsidR="00BB69DB" w:rsidRDefault="00BB69DB">
            <w:pPr>
              <w:keepNext/>
              <w:keepLines/>
              <w:jc w:val="center"/>
            </w:pPr>
            <w:r>
              <w:rPr>
                <w:b/>
                <w:sz w:val="18"/>
              </w:rPr>
              <w:t>Ostvareno u izvještajnom razdoblju tekuće godine</w:t>
            </w:r>
          </w:p>
        </w:tc>
        <w:tc>
          <w:tcPr>
            <w:tcW w:w="700" w:type="dxa"/>
            <w:shd w:val="clear" w:color="auto" w:fill="E7F0F9"/>
            <w:tcMar>
              <w:top w:w="0" w:type="dxa"/>
              <w:bottom w:w="0" w:type="dxa"/>
            </w:tcMar>
            <w:vAlign w:val="center"/>
          </w:tcPr>
          <w:p w14:paraId="40BA281A" w14:textId="77777777" w:rsidR="00BB69DB" w:rsidRDefault="00BB69DB">
            <w:pPr>
              <w:keepNext/>
              <w:keepLines/>
              <w:jc w:val="center"/>
            </w:pPr>
            <w:r>
              <w:rPr>
                <w:b/>
                <w:sz w:val="18"/>
              </w:rPr>
              <w:t>Indeks (%)</w:t>
            </w:r>
          </w:p>
        </w:tc>
      </w:tr>
      <w:tr w:rsidR="00BB69DB" w14:paraId="214C66A0" w14:textId="77777777">
        <w:trPr>
          <w:cantSplit/>
          <w:trHeight w:val="560"/>
        </w:trPr>
        <w:tc>
          <w:tcPr>
            <w:tcW w:w="700" w:type="dxa"/>
            <w:tcMar>
              <w:top w:w="0" w:type="dxa"/>
              <w:bottom w:w="0" w:type="dxa"/>
            </w:tcMar>
            <w:vAlign w:val="center"/>
          </w:tcPr>
          <w:p w14:paraId="059A744F" w14:textId="77777777" w:rsidR="00BB69DB" w:rsidRDefault="00BB69DB">
            <w:pPr>
              <w:keepNext/>
              <w:keepLines/>
            </w:pPr>
            <w:r>
              <w:rPr>
                <w:sz w:val="18"/>
              </w:rPr>
              <w:t>66</w:t>
            </w:r>
          </w:p>
        </w:tc>
        <w:tc>
          <w:tcPr>
            <w:tcW w:w="3180" w:type="dxa"/>
            <w:tcMar>
              <w:top w:w="0" w:type="dxa"/>
              <w:bottom w:w="0" w:type="dxa"/>
            </w:tcMar>
            <w:vAlign w:val="center"/>
          </w:tcPr>
          <w:p w14:paraId="116CAA35" w14:textId="77777777" w:rsidR="00BB69DB" w:rsidRDefault="00BB69DB">
            <w:pPr>
              <w:keepNext/>
              <w:keepLines/>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10CA6CE1" w14:textId="77777777" w:rsidR="00BB69DB" w:rsidRDefault="00BB69DB">
            <w:pPr>
              <w:keepNext/>
              <w:keepLines/>
            </w:pPr>
            <w:r>
              <w:rPr>
                <w:sz w:val="18"/>
              </w:rPr>
              <w:t>66</w:t>
            </w:r>
          </w:p>
        </w:tc>
        <w:tc>
          <w:tcPr>
            <w:tcW w:w="1860" w:type="dxa"/>
            <w:tcMar>
              <w:top w:w="0" w:type="dxa"/>
              <w:bottom w:w="0" w:type="dxa"/>
            </w:tcMar>
            <w:vAlign w:val="center"/>
          </w:tcPr>
          <w:p w14:paraId="40BF9B00" w14:textId="77777777" w:rsidR="00BB69DB" w:rsidRDefault="00BB69DB">
            <w:pPr>
              <w:keepNext/>
              <w:keepLines/>
              <w:jc w:val="right"/>
            </w:pPr>
            <w:r>
              <w:rPr>
                <w:sz w:val="18"/>
              </w:rPr>
              <w:t>26.415,24</w:t>
            </w:r>
          </w:p>
        </w:tc>
        <w:tc>
          <w:tcPr>
            <w:tcW w:w="1860" w:type="dxa"/>
            <w:tcMar>
              <w:top w:w="0" w:type="dxa"/>
              <w:bottom w:w="0" w:type="dxa"/>
            </w:tcMar>
            <w:vAlign w:val="center"/>
          </w:tcPr>
          <w:p w14:paraId="11AA2FBC" w14:textId="77777777" w:rsidR="00BB69DB" w:rsidRDefault="00BB69DB">
            <w:pPr>
              <w:keepNext/>
              <w:keepLines/>
              <w:jc w:val="right"/>
            </w:pPr>
            <w:r>
              <w:rPr>
                <w:sz w:val="18"/>
              </w:rPr>
              <w:t>19.008,67</w:t>
            </w:r>
          </w:p>
        </w:tc>
        <w:tc>
          <w:tcPr>
            <w:tcW w:w="700" w:type="dxa"/>
            <w:tcMar>
              <w:top w:w="0" w:type="dxa"/>
              <w:bottom w:w="0" w:type="dxa"/>
            </w:tcMar>
            <w:vAlign w:val="center"/>
          </w:tcPr>
          <w:p w14:paraId="48F605E1" w14:textId="77777777" w:rsidR="00BB69DB" w:rsidRDefault="00BB69DB">
            <w:pPr>
              <w:keepNext/>
              <w:keepLines/>
              <w:jc w:val="right"/>
            </w:pPr>
            <w:r>
              <w:rPr>
                <w:sz w:val="18"/>
              </w:rPr>
              <w:t>72,0</w:t>
            </w:r>
          </w:p>
        </w:tc>
      </w:tr>
    </w:tbl>
    <w:p w14:paraId="0B09D275" w14:textId="77777777" w:rsidR="00BB69DB" w:rsidRDefault="00BB69DB"/>
    <w:p w14:paraId="12DB8D2D" w14:textId="77777777" w:rsidR="00BB69DB" w:rsidRDefault="00BB69DB" w:rsidP="00BB69DB">
      <w:pPr>
        <w:jc w:val="both"/>
      </w:pPr>
      <w:r>
        <w:t xml:space="preserve">Prihodi od prodaje proizvoda i robe i pruženih usluga odnose se na ostvarene prihode po provedbi ovršnog postupka po pravomoćnoj presudi, a radi neplaćanja obveza prema ugovoru o najmu poslovnog prostora te na prihode od iznajmljivanja poslovnih prostora i dvorane u poslovnom </w:t>
      </w:r>
      <w:r>
        <w:lastRenderedPageBreak/>
        <w:t>objektu Kockica. U 2024. ostvaren je veći prihod od iznajmljivanja poslovnih prostora budući da je u ožujku 2024. istekao ugovor za najam restorana u poslovnoj zgradi Kockica, a nakon toga nije sklopljen novi.</w:t>
      </w:r>
    </w:p>
    <w:p w14:paraId="0BC3B372" w14:textId="77777777" w:rsidR="00BB69DB" w:rsidRDefault="00BB69DB"/>
    <w:p w14:paraId="6DC7C373" w14:textId="77777777" w:rsidR="00BB69DB" w:rsidRDefault="00BB69DB">
      <w:pPr>
        <w:keepNext/>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69DB" w14:paraId="3C97DFC4" w14:textId="77777777">
        <w:trPr>
          <w:cantSplit/>
        </w:trPr>
        <w:tc>
          <w:tcPr>
            <w:tcW w:w="700" w:type="dxa"/>
            <w:shd w:val="clear" w:color="auto" w:fill="E7F0F9"/>
            <w:tcMar>
              <w:top w:w="0" w:type="dxa"/>
              <w:bottom w:w="0" w:type="dxa"/>
            </w:tcMar>
            <w:vAlign w:val="center"/>
          </w:tcPr>
          <w:p w14:paraId="23A204F8" w14:textId="77777777" w:rsidR="00BB69DB" w:rsidRDefault="00BB69DB">
            <w:pPr>
              <w:keepNext/>
              <w:keepLines/>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A5710B" w14:textId="77777777" w:rsidR="00BB69DB" w:rsidRDefault="00BB69DB">
            <w:pPr>
              <w:keepNext/>
              <w:keepLines/>
              <w:jc w:val="center"/>
            </w:pPr>
            <w:r>
              <w:rPr>
                <w:b/>
                <w:sz w:val="18"/>
              </w:rPr>
              <w:t>Opis stavke</w:t>
            </w:r>
          </w:p>
        </w:tc>
        <w:tc>
          <w:tcPr>
            <w:tcW w:w="700" w:type="dxa"/>
            <w:shd w:val="clear" w:color="auto" w:fill="E7F0F9"/>
            <w:tcMar>
              <w:top w:w="0" w:type="dxa"/>
              <w:bottom w:w="0" w:type="dxa"/>
            </w:tcMar>
            <w:vAlign w:val="center"/>
          </w:tcPr>
          <w:p w14:paraId="7AEE6964" w14:textId="77777777" w:rsidR="00BB69DB" w:rsidRDefault="00BB69DB">
            <w:pPr>
              <w:keepNext/>
              <w:keepLines/>
              <w:jc w:val="center"/>
            </w:pPr>
            <w:r>
              <w:rPr>
                <w:b/>
                <w:sz w:val="18"/>
              </w:rPr>
              <w:t>Šifra</w:t>
            </w:r>
          </w:p>
        </w:tc>
        <w:tc>
          <w:tcPr>
            <w:tcW w:w="1860" w:type="dxa"/>
            <w:shd w:val="clear" w:color="auto" w:fill="E7F0F9"/>
            <w:tcMar>
              <w:top w:w="0" w:type="dxa"/>
              <w:bottom w:w="0" w:type="dxa"/>
            </w:tcMar>
            <w:vAlign w:val="center"/>
          </w:tcPr>
          <w:p w14:paraId="274E1C96" w14:textId="77777777" w:rsidR="00BB69DB" w:rsidRDefault="00BB69DB">
            <w:pPr>
              <w:keepNext/>
              <w:keepLines/>
              <w:jc w:val="center"/>
            </w:pPr>
            <w:r>
              <w:rPr>
                <w:b/>
                <w:sz w:val="18"/>
              </w:rPr>
              <w:t>Ostvareno u izvještajnom razdoblju prethodne godine</w:t>
            </w:r>
          </w:p>
        </w:tc>
        <w:tc>
          <w:tcPr>
            <w:tcW w:w="1860" w:type="dxa"/>
            <w:shd w:val="clear" w:color="auto" w:fill="E7F0F9"/>
            <w:tcMar>
              <w:top w:w="0" w:type="dxa"/>
              <w:bottom w:w="0" w:type="dxa"/>
            </w:tcMar>
            <w:vAlign w:val="center"/>
          </w:tcPr>
          <w:p w14:paraId="7AAB78AF" w14:textId="77777777" w:rsidR="00BB69DB" w:rsidRDefault="00BB69DB">
            <w:pPr>
              <w:keepNext/>
              <w:keepLines/>
              <w:jc w:val="center"/>
            </w:pPr>
            <w:r>
              <w:rPr>
                <w:b/>
                <w:sz w:val="18"/>
              </w:rPr>
              <w:t>Ostvareno u izvještajnom razdoblju tekuće godine</w:t>
            </w:r>
          </w:p>
        </w:tc>
        <w:tc>
          <w:tcPr>
            <w:tcW w:w="700" w:type="dxa"/>
            <w:shd w:val="clear" w:color="auto" w:fill="E7F0F9"/>
            <w:tcMar>
              <w:top w:w="0" w:type="dxa"/>
              <w:bottom w:w="0" w:type="dxa"/>
            </w:tcMar>
            <w:vAlign w:val="center"/>
          </w:tcPr>
          <w:p w14:paraId="1F41DBBF" w14:textId="77777777" w:rsidR="00BB69DB" w:rsidRDefault="00BB69DB">
            <w:pPr>
              <w:keepNext/>
              <w:keepLines/>
              <w:jc w:val="center"/>
            </w:pPr>
            <w:r>
              <w:rPr>
                <w:b/>
                <w:sz w:val="18"/>
              </w:rPr>
              <w:t>Indeks (%)</w:t>
            </w:r>
          </w:p>
        </w:tc>
      </w:tr>
      <w:tr w:rsidR="00BB69DB" w14:paraId="4EE1FDB0" w14:textId="77777777">
        <w:trPr>
          <w:cantSplit/>
          <w:trHeight w:val="560"/>
        </w:trPr>
        <w:tc>
          <w:tcPr>
            <w:tcW w:w="700" w:type="dxa"/>
            <w:tcMar>
              <w:top w:w="0" w:type="dxa"/>
              <w:bottom w:w="0" w:type="dxa"/>
            </w:tcMar>
            <w:vAlign w:val="center"/>
          </w:tcPr>
          <w:p w14:paraId="29703094" w14:textId="77777777" w:rsidR="00BB69DB" w:rsidRDefault="00BB69DB">
            <w:pPr>
              <w:keepNext/>
              <w:keepLines/>
            </w:pPr>
            <w:r>
              <w:rPr>
                <w:sz w:val="18"/>
              </w:rPr>
              <w:t>67</w:t>
            </w:r>
          </w:p>
        </w:tc>
        <w:tc>
          <w:tcPr>
            <w:tcW w:w="3180" w:type="dxa"/>
            <w:tcMar>
              <w:top w:w="0" w:type="dxa"/>
              <w:bottom w:w="0" w:type="dxa"/>
            </w:tcMar>
            <w:vAlign w:val="center"/>
          </w:tcPr>
          <w:p w14:paraId="50047774" w14:textId="77777777" w:rsidR="00BB69DB" w:rsidRDefault="00BB69DB">
            <w:pPr>
              <w:keepNext/>
              <w:keepLines/>
            </w:pPr>
            <w:r>
              <w:rPr>
                <w:sz w:val="18"/>
              </w:rPr>
              <w:t>Prihodi iz nadležnog proračuna i od HZZO-a na temelju ugovornih obveza (šifre 671+673)</w:t>
            </w:r>
          </w:p>
        </w:tc>
        <w:tc>
          <w:tcPr>
            <w:tcW w:w="700" w:type="dxa"/>
            <w:tcMar>
              <w:top w:w="0" w:type="dxa"/>
              <w:bottom w:w="0" w:type="dxa"/>
            </w:tcMar>
            <w:vAlign w:val="center"/>
          </w:tcPr>
          <w:p w14:paraId="5667873D" w14:textId="77777777" w:rsidR="00BB69DB" w:rsidRDefault="00BB69DB">
            <w:pPr>
              <w:keepNext/>
              <w:keepLines/>
            </w:pPr>
            <w:r>
              <w:rPr>
                <w:sz w:val="18"/>
              </w:rPr>
              <w:t>67</w:t>
            </w:r>
          </w:p>
        </w:tc>
        <w:tc>
          <w:tcPr>
            <w:tcW w:w="1860" w:type="dxa"/>
            <w:tcMar>
              <w:top w:w="0" w:type="dxa"/>
              <w:bottom w:w="0" w:type="dxa"/>
            </w:tcMar>
            <w:vAlign w:val="center"/>
          </w:tcPr>
          <w:p w14:paraId="5CBC10CA" w14:textId="77777777" w:rsidR="00BB69DB" w:rsidRDefault="00BB69DB">
            <w:pPr>
              <w:keepNext/>
              <w:keepLines/>
              <w:jc w:val="right"/>
            </w:pPr>
            <w:r>
              <w:rPr>
                <w:sz w:val="18"/>
              </w:rPr>
              <w:t>979.255.592,50</w:t>
            </w:r>
          </w:p>
        </w:tc>
        <w:tc>
          <w:tcPr>
            <w:tcW w:w="1860" w:type="dxa"/>
            <w:tcMar>
              <w:top w:w="0" w:type="dxa"/>
              <w:bottom w:w="0" w:type="dxa"/>
            </w:tcMar>
            <w:vAlign w:val="center"/>
          </w:tcPr>
          <w:p w14:paraId="35DD0939" w14:textId="77777777" w:rsidR="00BB69DB" w:rsidRDefault="00BB69DB">
            <w:pPr>
              <w:keepNext/>
              <w:keepLines/>
              <w:jc w:val="right"/>
            </w:pPr>
            <w:r>
              <w:rPr>
                <w:sz w:val="18"/>
              </w:rPr>
              <w:t>1.269.601.931,48</w:t>
            </w:r>
          </w:p>
        </w:tc>
        <w:tc>
          <w:tcPr>
            <w:tcW w:w="700" w:type="dxa"/>
            <w:tcMar>
              <w:top w:w="0" w:type="dxa"/>
              <w:bottom w:w="0" w:type="dxa"/>
            </w:tcMar>
            <w:vAlign w:val="center"/>
          </w:tcPr>
          <w:p w14:paraId="7BB7A280" w14:textId="77777777" w:rsidR="00BB69DB" w:rsidRDefault="00BB69DB">
            <w:pPr>
              <w:keepNext/>
              <w:keepLines/>
              <w:jc w:val="right"/>
            </w:pPr>
            <w:r>
              <w:rPr>
                <w:sz w:val="18"/>
              </w:rPr>
              <w:t>129,6</w:t>
            </w:r>
          </w:p>
        </w:tc>
      </w:tr>
    </w:tbl>
    <w:p w14:paraId="4ECE2613" w14:textId="77777777" w:rsidR="00BB69DB" w:rsidRDefault="00BB69DB"/>
    <w:p w14:paraId="55977846" w14:textId="77777777" w:rsidR="00BB69DB" w:rsidRDefault="00BB69DB" w:rsidP="00BB69DB">
      <w:pPr>
        <w:jc w:val="both"/>
      </w:pPr>
      <w:r>
        <w:t xml:space="preserve">Glavni razlog  ostvarenih znatno većih prihoda iz nadležnog proračuna u 2025. godini u odnosu na 2024. godinu je evidentiranje prihoda ostvarenih iz Državnog proračuna za podmirenje obveza po projektima koji se financiraju iz EU sredstava, izvor 562, 563 i 581,  u razredu 67, a 2024. godine su bili evidentirani u razredu 63 (140 </w:t>
      </w:r>
      <w:proofErr w:type="spellStart"/>
      <w:r>
        <w:t>mil</w:t>
      </w:r>
      <w:proofErr w:type="spellEnd"/>
      <w:r>
        <w:t xml:space="preserve"> EUR).</w:t>
      </w:r>
    </w:p>
    <w:p w14:paraId="2EEDF94F" w14:textId="77777777" w:rsidR="00BB69DB" w:rsidRDefault="00BB69DB" w:rsidP="00BB69DB">
      <w:pPr>
        <w:jc w:val="both"/>
      </w:pPr>
      <w:r>
        <w:t xml:space="preserve">Za naknade u cijeni goriva za HC, HAC i HŽI u 2025. planirano je 17,8 </w:t>
      </w:r>
      <w:proofErr w:type="spellStart"/>
      <w:r>
        <w:t>mil</w:t>
      </w:r>
      <w:proofErr w:type="spellEnd"/>
      <w:r>
        <w:t xml:space="preserve"> EUR više nego 2024. 53 </w:t>
      </w:r>
      <w:proofErr w:type="spellStart"/>
      <w:r>
        <w:t>mil</w:t>
      </w:r>
      <w:proofErr w:type="spellEnd"/>
      <w:r>
        <w:t xml:space="preserve"> EUR veći prihodi iz Državnog proračuna na A570344 Upravljanje, organizacija i regulacija željezničkog prometa u odnosu na 2024. godinu jer u 2024. nisu isplaćeni troškovi radnika na upravljanju, organizaciji i regulaciji željezničkog prometa za 09/2024, 10/2024 i 11/2024 sukladno ugovoru već su te obveze podmirene u 2025. Tijekom 2025. potpisan je dodatak kolektivnom ugovoru čime su porasli troškovi plaća. U 2025. godini je HŽI-u isplaćeno 25 </w:t>
      </w:r>
      <w:proofErr w:type="spellStart"/>
      <w:r>
        <w:t>mil</w:t>
      </w:r>
      <w:proofErr w:type="spellEnd"/>
      <w:r>
        <w:t xml:space="preserve"> EUR po nagodbi za izuzeto javno dobro. Na A820082 Financiranje i sufinanciranje građenja, modernizacije i obnove željezničke infrastrukture za izvođenje radova na projektima koji se financiraju u okviru projekta „Revitalizacija željezničkog sustava Republike Hrvatske u 2025. ostvareni su za 89 </w:t>
      </w:r>
      <w:proofErr w:type="spellStart"/>
      <w:r>
        <w:t>mil</w:t>
      </w:r>
      <w:proofErr w:type="spellEnd"/>
      <w:r>
        <w:t xml:space="preserve"> EUR veći prihodi u odnosu na 2024. Na A761011 Poticanje željezničkog putničkog prijevoza za provedbu PSO ugovora ostvareni su 19,5 </w:t>
      </w:r>
      <w:proofErr w:type="spellStart"/>
      <w:r>
        <w:t>mil</w:t>
      </w:r>
      <w:proofErr w:type="spellEnd"/>
      <w:r>
        <w:t xml:space="preserve"> EUR veći prihodi u odnosu na 2024. zbog povećanja troškova održavanja vlakova kao i zbog povećanja broja vlakova koji obavljaju PSO usluge.</w:t>
      </w:r>
    </w:p>
    <w:p w14:paraId="7A822A68" w14:textId="77777777" w:rsidR="00BB69DB" w:rsidRDefault="00BB69DB"/>
    <w:p w14:paraId="6EA1C865" w14:textId="77777777" w:rsidR="00BB69DB" w:rsidRDefault="00BB69DB">
      <w:pPr>
        <w:keepNext/>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69DB" w14:paraId="7F9C2C21" w14:textId="77777777">
        <w:trPr>
          <w:cantSplit/>
        </w:trPr>
        <w:tc>
          <w:tcPr>
            <w:tcW w:w="700" w:type="dxa"/>
            <w:shd w:val="clear" w:color="auto" w:fill="E7F0F9"/>
            <w:tcMar>
              <w:top w:w="0" w:type="dxa"/>
              <w:bottom w:w="0" w:type="dxa"/>
            </w:tcMar>
            <w:vAlign w:val="center"/>
          </w:tcPr>
          <w:p w14:paraId="4F91CB31" w14:textId="77777777" w:rsidR="00BB69DB" w:rsidRDefault="00BB69DB">
            <w:pPr>
              <w:keepNext/>
              <w:keepLines/>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2D046C" w14:textId="77777777" w:rsidR="00BB69DB" w:rsidRDefault="00BB69DB">
            <w:pPr>
              <w:keepNext/>
              <w:keepLines/>
              <w:jc w:val="center"/>
            </w:pPr>
            <w:r>
              <w:rPr>
                <w:b/>
                <w:sz w:val="18"/>
              </w:rPr>
              <w:t>Opis stavke</w:t>
            </w:r>
          </w:p>
        </w:tc>
        <w:tc>
          <w:tcPr>
            <w:tcW w:w="700" w:type="dxa"/>
            <w:shd w:val="clear" w:color="auto" w:fill="E7F0F9"/>
            <w:tcMar>
              <w:top w:w="0" w:type="dxa"/>
              <w:bottom w:w="0" w:type="dxa"/>
            </w:tcMar>
            <w:vAlign w:val="center"/>
          </w:tcPr>
          <w:p w14:paraId="050F731D" w14:textId="77777777" w:rsidR="00BB69DB" w:rsidRDefault="00BB69DB">
            <w:pPr>
              <w:keepNext/>
              <w:keepLines/>
              <w:jc w:val="center"/>
            </w:pPr>
            <w:r>
              <w:rPr>
                <w:b/>
                <w:sz w:val="18"/>
              </w:rPr>
              <w:t>Šifra</w:t>
            </w:r>
          </w:p>
        </w:tc>
        <w:tc>
          <w:tcPr>
            <w:tcW w:w="1860" w:type="dxa"/>
            <w:shd w:val="clear" w:color="auto" w:fill="E7F0F9"/>
            <w:tcMar>
              <w:top w:w="0" w:type="dxa"/>
              <w:bottom w:w="0" w:type="dxa"/>
            </w:tcMar>
            <w:vAlign w:val="center"/>
          </w:tcPr>
          <w:p w14:paraId="3CBFC4C6" w14:textId="77777777" w:rsidR="00BB69DB" w:rsidRDefault="00BB69DB">
            <w:pPr>
              <w:keepNext/>
              <w:keepLines/>
              <w:jc w:val="center"/>
            </w:pPr>
            <w:r>
              <w:rPr>
                <w:b/>
                <w:sz w:val="18"/>
              </w:rPr>
              <w:t>Ostvareno u izvještajnom razdoblju prethodne godine</w:t>
            </w:r>
          </w:p>
        </w:tc>
        <w:tc>
          <w:tcPr>
            <w:tcW w:w="1860" w:type="dxa"/>
            <w:shd w:val="clear" w:color="auto" w:fill="E7F0F9"/>
            <w:tcMar>
              <w:top w:w="0" w:type="dxa"/>
              <w:bottom w:w="0" w:type="dxa"/>
            </w:tcMar>
            <w:vAlign w:val="center"/>
          </w:tcPr>
          <w:p w14:paraId="23ECC456" w14:textId="77777777" w:rsidR="00BB69DB" w:rsidRDefault="00BB69DB">
            <w:pPr>
              <w:keepNext/>
              <w:keepLines/>
              <w:jc w:val="center"/>
            </w:pPr>
            <w:r>
              <w:rPr>
                <w:b/>
                <w:sz w:val="18"/>
              </w:rPr>
              <w:t>Ostvareno u izvještajnom razdoblju tekuće godine</w:t>
            </w:r>
          </w:p>
        </w:tc>
        <w:tc>
          <w:tcPr>
            <w:tcW w:w="700" w:type="dxa"/>
            <w:shd w:val="clear" w:color="auto" w:fill="E7F0F9"/>
            <w:tcMar>
              <w:top w:w="0" w:type="dxa"/>
              <w:bottom w:w="0" w:type="dxa"/>
            </w:tcMar>
            <w:vAlign w:val="center"/>
          </w:tcPr>
          <w:p w14:paraId="4D34DA01" w14:textId="77777777" w:rsidR="00BB69DB" w:rsidRDefault="00BB69DB">
            <w:pPr>
              <w:keepNext/>
              <w:keepLines/>
              <w:jc w:val="center"/>
            </w:pPr>
            <w:r>
              <w:rPr>
                <w:b/>
                <w:sz w:val="18"/>
              </w:rPr>
              <w:t>Indeks (%)</w:t>
            </w:r>
          </w:p>
        </w:tc>
      </w:tr>
      <w:tr w:rsidR="00BB69DB" w14:paraId="7BAEE3CE" w14:textId="77777777">
        <w:trPr>
          <w:cantSplit/>
          <w:trHeight w:val="560"/>
        </w:trPr>
        <w:tc>
          <w:tcPr>
            <w:tcW w:w="700" w:type="dxa"/>
            <w:tcMar>
              <w:top w:w="0" w:type="dxa"/>
              <w:bottom w:w="0" w:type="dxa"/>
            </w:tcMar>
            <w:vAlign w:val="center"/>
          </w:tcPr>
          <w:p w14:paraId="2555F10A" w14:textId="77777777" w:rsidR="00BB69DB" w:rsidRDefault="00BB69DB">
            <w:pPr>
              <w:keepNext/>
              <w:keepLines/>
            </w:pPr>
            <w:r>
              <w:rPr>
                <w:sz w:val="18"/>
              </w:rPr>
              <w:t>31</w:t>
            </w:r>
          </w:p>
        </w:tc>
        <w:tc>
          <w:tcPr>
            <w:tcW w:w="3180" w:type="dxa"/>
            <w:tcMar>
              <w:top w:w="0" w:type="dxa"/>
              <w:bottom w:w="0" w:type="dxa"/>
            </w:tcMar>
            <w:vAlign w:val="center"/>
          </w:tcPr>
          <w:p w14:paraId="6D0CDAA1" w14:textId="77777777" w:rsidR="00BB69DB" w:rsidRDefault="00BB69DB">
            <w:pPr>
              <w:keepNext/>
              <w:keepLines/>
            </w:pPr>
            <w:r>
              <w:rPr>
                <w:sz w:val="18"/>
              </w:rPr>
              <w:t>Rashodi za zaposlene (šifre 311+312+313)</w:t>
            </w:r>
          </w:p>
        </w:tc>
        <w:tc>
          <w:tcPr>
            <w:tcW w:w="700" w:type="dxa"/>
            <w:tcMar>
              <w:top w:w="0" w:type="dxa"/>
              <w:bottom w:w="0" w:type="dxa"/>
            </w:tcMar>
            <w:vAlign w:val="center"/>
          </w:tcPr>
          <w:p w14:paraId="212C5611" w14:textId="77777777" w:rsidR="00BB69DB" w:rsidRDefault="00BB69DB">
            <w:pPr>
              <w:keepNext/>
              <w:keepLines/>
            </w:pPr>
            <w:r>
              <w:rPr>
                <w:sz w:val="18"/>
              </w:rPr>
              <w:t>31</w:t>
            </w:r>
          </w:p>
        </w:tc>
        <w:tc>
          <w:tcPr>
            <w:tcW w:w="1860" w:type="dxa"/>
            <w:tcMar>
              <w:top w:w="0" w:type="dxa"/>
              <w:bottom w:w="0" w:type="dxa"/>
            </w:tcMar>
            <w:vAlign w:val="center"/>
          </w:tcPr>
          <w:p w14:paraId="3CEE7C27" w14:textId="77777777" w:rsidR="00BB69DB" w:rsidRDefault="00BB69DB">
            <w:pPr>
              <w:keepNext/>
              <w:keepLines/>
              <w:jc w:val="right"/>
            </w:pPr>
            <w:r>
              <w:rPr>
                <w:sz w:val="18"/>
              </w:rPr>
              <w:t>26.589.875,68</w:t>
            </w:r>
          </w:p>
        </w:tc>
        <w:tc>
          <w:tcPr>
            <w:tcW w:w="1860" w:type="dxa"/>
            <w:tcMar>
              <w:top w:w="0" w:type="dxa"/>
              <w:bottom w:w="0" w:type="dxa"/>
            </w:tcMar>
            <w:vAlign w:val="center"/>
          </w:tcPr>
          <w:p w14:paraId="241DC3EE" w14:textId="77777777" w:rsidR="00BB69DB" w:rsidRDefault="00BB69DB">
            <w:pPr>
              <w:keepNext/>
              <w:keepLines/>
              <w:jc w:val="right"/>
            </w:pPr>
            <w:r>
              <w:rPr>
                <w:sz w:val="18"/>
              </w:rPr>
              <w:t>31.334.676,49</w:t>
            </w:r>
          </w:p>
        </w:tc>
        <w:tc>
          <w:tcPr>
            <w:tcW w:w="700" w:type="dxa"/>
            <w:tcMar>
              <w:top w:w="0" w:type="dxa"/>
              <w:bottom w:w="0" w:type="dxa"/>
            </w:tcMar>
            <w:vAlign w:val="center"/>
          </w:tcPr>
          <w:p w14:paraId="24F23A2F" w14:textId="77777777" w:rsidR="00BB69DB" w:rsidRDefault="00BB69DB">
            <w:pPr>
              <w:keepNext/>
              <w:keepLines/>
              <w:jc w:val="right"/>
            </w:pPr>
            <w:r>
              <w:rPr>
                <w:sz w:val="18"/>
              </w:rPr>
              <w:t>117,8</w:t>
            </w:r>
          </w:p>
        </w:tc>
      </w:tr>
    </w:tbl>
    <w:p w14:paraId="7F6641A7" w14:textId="77777777" w:rsidR="00BB69DB" w:rsidRDefault="00BB69DB"/>
    <w:p w14:paraId="10F1B28F" w14:textId="77777777" w:rsidR="00BB69DB" w:rsidRDefault="00BB69DB" w:rsidP="00BB69DB">
      <w:pPr>
        <w:jc w:val="both"/>
      </w:pPr>
      <w:r>
        <w:t>Člankom 233. Pravilnika o proračunskom računovodstvu i računskom planu (NN 158/2023) određeno je da se ukida podskupina konta 193 Kontinuirani rashodi budućih razdoblja te su rashodi za plaću za 12/2024 početkom 2025. preneseni na rashode iz skupine  konta 31. U 2025. iskazani su rashodi za plaće za 12/2024 i 1-12/2025, odnosno u 2025. na skupini konta 31 Rashodi za zaposlene iskazano je 13 rashoda, dok je u istom razdoblju 2024. na ovoj skupini konta bilo iskazano 12 rashoda za plaće.</w:t>
      </w:r>
    </w:p>
    <w:p w14:paraId="235BDA6A" w14:textId="77777777" w:rsidR="00BB69DB" w:rsidRDefault="00BB69DB" w:rsidP="00BB69DB">
      <w:pPr>
        <w:jc w:val="both"/>
      </w:pPr>
      <w:r>
        <w:t>Na dan 1. siječnja 2025. godine bilo je zaposleno 810 službenika i namještenika na neodređeno vrijeme i 6 službenika na određeno vrijeme, a na dan 31. prosinca 2025. godine bilo je zaposleno 806 službenika i namještenika na neodređeno vrijeme i 4 službenika na određeno vrijeme.</w:t>
      </w:r>
    </w:p>
    <w:p w14:paraId="15D6CC68" w14:textId="77777777" w:rsidR="00BB69DB" w:rsidRDefault="00BB69DB" w:rsidP="00BB69DB">
      <w:pPr>
        <w:jc w:val="both"/>
      </w:pPr>
      <w:r>
        <w:t>U razdoblju od 1. siječnja 2025. godine do 31. prosinca 2025. godine zaposleno je 40 službenika i namještenika na neodređeno i  10 službenika na određeno vrijeme. U navedenom razdoblju otišlo je 44 službenika na neodređeno i 12 službenika na određeno vrijeme.</w:t>
      </w:r>
    </w:p>
    <w:p w14:paraId="6C6C7896" w14:textId="77777777" w:rsidR="00BB69DB" w:rsidRDefault="00BB69DB"/>
    <w:p w14:paraId="185B0549" w14:textId="77777777" w:rsidR="00BB69DB" w:rsidRDefault="00BB69DB">
      <w:pPr>
        <w:keepNext/>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69DB" w14:paraId="60796982" w14:textId="77777777">
        <w:trPr>
          <w:cantSplit/>
        </w:trPr>
        <w:tc>
          <w:tcPr>
            <w:tcW w:w="700" w:type="dxa"/>
            <w:shd w:val="clear" w:color="auto" w:fill="E7F0F9"/>
            <w:tcMar>
              <w:top w:w="0" w:type="dxa"/>
              <w:bottom w:w="0" w:type="dxa"/>
            </w:tcMar>
            <w:vAlign w:val="center"/>
          </w:tcPr>
          <w:p w14:paraId="76E67F7B" w14:textId="77777777" w:rsidR="00BB69DB" w:rsidRDefault="00BB69DB">
            <w:pPr>
              <w:keepNext/>
              <w:keepLines/>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B59A35" w14:textId="77777777" w:rsidR="00BB69DB" w:rsidRDefault="00BB69DB">
            <w:pPr>
              <w:keepNext/>
              <w:keepLines/>
              <w:jc w:val="center"/>
            </w:pPr>
            <w:r>
              <w:rPr>
                <w:b/>
                <w:sz w:val="18"/>
              </w:rPr>
              <w:t>Opis stavke</w:t>
            </w:r>
          </w:p>
        </w:tc>
        <w:tc>
          <w:tcPr>
            <w:tcW w:w="700" w:type="dxa"/>
            <w:shd w:val="clear" w:color="auto" w:fill="E7F0F9"/>
            <w:tcMar>
              <w:top w:w="0" w:type="dxa"/>
              <w:bottom w:w="0" w:type="dxa"/>
            </w:tcMar>
            <w:vAlign w:val="center"/>
          </w:tcPr>
          <w:p w14:paraId="68E994EE" w14:textId="77777777" w:rsidR="00BB69DB" w:rsidRDefault="00BB69DB">
            <w:pPr>
              <w:keepNext/>
              <w:keepLines/>
              <w:jc w:val="center"/>
            </w:pPr>
            <w:r>
              <w:rPr>
                <w:b/>
                <w:sz w:val="18"/>
              </w:rPr>
              <w:t>Šifra</w:t>
            </w:r>
          </w:p>
        </w:tc>
        <w:tc>
          <w:tcPr>
            <w:tcW w:w="1860" w:type="dxa"/>
            <w:shd w:val="clear" w:color="auto" w:fill="E7F0F9"/>
            <w:tcMar>
              <w:top w:w="0" w:type="dxa"/>
              <w:bottom w:w="0" w:type="dxa"/>
            </w:tcMar>
            <w:vAlign w:val="center"/>
          </w:tcPr>
          <w:p w14:paraId="640358B5" w14:textId="77777777" w:rsidR="00BB69DB" w:rsidRDefault="00BB69DB">
            <w:pPr>
              <w:keepNext/>
              <w:keepLines/>
              <w:jc w:val="center"/>
            </w:pPr>
            <w:r>
              <w:rPr>
                <w:b/>
                <w:sz w:val="18"/>
              </w:rPr>
              <w:t>Ostvareno u izvještajnom razdoblju prethodne godine</w:t>
            </w:r>
          </w:p>
        </w:tc>
        <w:tc>
          <w:tcPr>
            <w:tcW w:w="1860" w:type="dxa"/>
            <w:shd w:val="clear" w:color="auto" w:fill="E7F0F9"/>
            <w:tcMar>
              <w:top w:w="0" w:type="dxa"/>
              <w:bottom w:w="0" w:type="dxa"/>
            </w:tcMar>
            <w:vAlign w:val="center"/>
          </w:tcPr>
          <w:p w14:paraId="6F6F0752" w14:textId="77777777" w:rsidR="00BB69DB" w:rsidRDefault="00BB69DB">
            <w:pPr>
              <w:keepNext/>
              <w:keepLines/>
              <w:jc w:val="center"/>
            </w:pPr>
            <w:r>
              <w:rPr>
                <w:b/>
                <w:sz w:val="18"/>
              </w:rPr>
              <w:t>Ostvareno u izvještajnom razdoblju tekuće godine</w:t>
            </w:r>
          </w:p>
        </w:tc>
        <w:tc>
          <w:tcPr>
            <w:tcW w:w="700" w:type="dxa"/>
            <w:shd w:val="clear" w:color="auto" w:fill="E7F0F9"/>
            <w:tcMar>
              <w:top w:w="0" w:type="dxa"/>
              <w:bottom w:w="0" w:type="dxa"/>
            </w:tcMar>
            <w:vAlign w:val="center"/>
          </w:tcPr>
          <w:p w14:paraId="1178C064" w14:textId="77777777" w:rsidR="00BB69DB" w:rsidRDefault="00BB69DB">
            <w:pPr>
              <w:keepNext/>
              <w:keepLines/>
              <w:jc w:val="center"/>
            </w:pPr>
            <w:r>
              <w:rPr>
                <w:b/>
                <w:sz w:val="18"/>
              </w:rPr>
              <w:t>Indeks (%)</w:t>
            </w:r>
          </w:p>
        </w:tc>
      </w:tr>
      <w:tr w:rsidR="00BB69DB" w14:paraId="01422DC5" w14:textId="77777777">
        <w:trPr>
          <w:cantSplit/>
          <w:trHeight w:val="560"/>
        </w:trPr>
        <w:tc>
          <w:tcPr>
            <w:tcW w:w="700" w:type="dxa"/>
            <w:tcMar>
              <w:top w:w="0" w:type="dxa"/>
              <w:bottom w:w="0" w:type="dxa"/>
            </w:tcMar>
            <w:vAlign w:val="center"/>
          </w:tcPr>
          <w:p w14:paraId="2CD18E5F" w14:textId="77777777" w:rsidR="00BB69DB" w:rsidRDefault="00BB69DB">
            <w:pPr>
              <w:keepNext/>
              <w:keepLines/>
            </w:pPr>
            <w:r>
              <w:rPr>
                <w:sz w:val="18"/>
              </w:rPr>
              <w:t>32</w:t>
            </w:r>
          </w:p>
        </w:tc>
        <w:tc>
          <w:tcPr>
            <w:tcW w:w="3180" w:type="dxa"/>
            <w:tcMar>
              <w:top w:w="0" w:type="dxa"/>
              <w:bottom w:w="0" w:type="dxa"/>
            </w:tcMar>
            <w:vAlign w:val="center"/>
          </w:tcPr>
          <w:p w14:paraId="7E4FACCC" w14:textId="77777777" w:rsidR="00BB69DB" w:rsidRDefault="00BB69DB">
            <w:pPr>
              <w:keepNext/>
              <w:keepLines/>
            </w:pPr>
            <w:r>
              <w:rPr>
                <w:sz w:val="18"/>
              </w:rPr>
              <w:t>Materijalni rashodi (šifre 321+322+323+324+325+329)</w:t>
            </w:r>
          </w:p>
        </w:tc>
        <w:tc>
          <w:tcPr>
            <w:tcW w:w="700" w:type="dxa"/>
            <w:tcMar>
              <w:top w:w="0" w:type="dxa"/>
              <w:bottom w:w="0" w:type="dxa"/>
            </w:tcMar>
            <w:vAlign w:val="center"/>
          </w:tcPr>
          <w:p w14:paraId="51A50997" w14:textId="77777777" w:rsidR="00BB69DB" w:rsidRDefault="00BB69DB">
            <w:pPr>
              <w:keepNext/>
              <w:keepLines/>
            </w:pPr>
            <w:r>
              <w:rPr>
                <w:sz w:val="18"/>
              </w:rPr>
              <w:t>32</w:t>
            </w:r>
          </w:p>
        </w:tc>
        <w:tc>
          <w:tcPr>
            <w:tcW w:w="1860" w:type="dxa"/>
            <w:tcMar>
              <w:top w:w="0" w:type="dxa"/>
              <w:bottom w:w="0" w:type="dxa"/>
            </w:tcMar>
            <w:vAlign w:val="center"/>
          </w:tcPr>
          <w:p w14:paraId="436DCCE2" w14:textId="77777777" w:rsidR="00BB69DB" w:rsidRDefault="00BB69DB">
            <w:pPr>
              <w:keepNext/>
              <w:keepLines/>
              <w:jc w:val="right"/>
            </w:pPr>
            <w:r>
              <w:rPr>
                <w:sz w:val="18"/>
              </w:rPr>
              <w:t>16.233.597,31</w:t>
            </w:r>
          </w:p>
        </w:tc>
        <w:tc>
          <w:tcPr>
            <w:tcW w:w="1860" w:type="dxa"/>
            <w:tcMar>
              <w:top w:w="0" w:type="dxa"/>
              <w:bottom w:w="0" w:type="dxa"/>
            </w:tcMar>
            <w:vAlign w:val="center"/>
          </w:tcPr>
          <w:p w14:paraId="6659CA93" w14:textId="77777777" w:rsidR="00BB69DB" w:rsidRDefault="00BB69DB">
            <w:pPr>
              <w:keepNext/>
              <w:keepLines/>
              <w:jc w:val="right"/>
            </w:pPr>
            <w:r>
              <w:rPr>
                <w:sz w:val="18"/>
              </w:rPr>
              <w:t>20.544.034,21</w:t>
            </w:r>
          </w:p>
        </w:tc>
        <w:tc>
          <w:tcPr>
            <w:tcW w:w="700" w:type="dxa"/>
            <w:tcMar>
              <w:top w:w="0" w:type="dxa"/>
              <w:bottom w:w="0" w:type="dxa"/>
            </w:tcMar>
            <w:vAlign w:val="center"/>
          </w:tcPr>
          <w:p w14:paraId="1DBD4664" w14:textId="77777777" w:rsidR="00BB69DB" w:rsidRDefault="00BB69DB">
            <w:pPr>
              <w:keepNext/>
              <w:keepLines/>
              <w:jc w:val="right"/>
            </w:pPr>
            <w:r>
              <w:rPr>
                <w:sz w:val="18"/>
              </w:rPr>
              <w:t>126,6</w:t>
            </w:r>
          </w:p>
        </w:tc>
      </w:tr>
    </w:tbl>
    <w:p w14:paraId="62E27DF6" w14:textId="77777777" w:rsidR="00BB69DB" w:rsidRDefault="00BB69DB"/>
    <w:p w14:paraId="26072455" w14:textId="77777777" w:rsidR="00BB69DB" w:rsidRDefault="00BB69DB" w:rsidP="00BB69DB">
      <w:pPr>
        <w:jc w:val="both"/>
      </w:pPr>
      <w:r>
        <w:t>Najznačajniji materijalni rashodi ostvareni su za usluge tekućeg i investicijskog održavanja (4.454.480,19 EUR), računalne usluge (2.400.246,52 EUR), službenu odjeću i obuću (2.576.270,54 EUR),   zakupnine i najamnine (1.803.493,40 EUR), usluge telefona, interneta, pošte i prijevoza (1.094.298,89 EUR), energiju (1.144.926,95 EUR), naknade članovima povjerenstava (1.656.595,03 EUR) i intelektualne i osobne usluge (1.191.539,29 EUR).  </w:t>
      </w:r>
    </w:p>
    <w:p w14:paraId="7B098746" w14:textId="77777777" w:rsidR="00BB69DB" w:rsidRDefault="00BB69DB" w:rsidP="00BB69DB">
      <w:pPr>
        <w:jc w:val="both"/>
      </w:pPr>
      <w:r>
        <w:t>Od ukupno ostvarenih rashoda za usluge tekućeg i investicijskog održavanja 2.140.730,75 EUR odnosi se na Sigurnost plovidbe, uglavnom za održavanje brodica i opreme, 1.324.343,25 EUR odnosi se na tehničko održavanje plovnih putova na unutarnjim vodama, a 449.073,33 EUR odnosi se na održavanje poslovnih zgrada ministarstva. Dio rashoda za tekuće i investicijsko održavanje u iznosu od 1.483.634,57 EUR podmiren je iz namjenskih prihoda za sigurnost plovidbe.</w:t>
      </w:r>
    </w:p>
    <w:p w14:paraId="379783B0" w14:textId="77777777" w:rsidR="00BB69DB" w:rsidRDefault="00BB69DB" w:rsidP="00BB69DB">
      <w:pPr>
        <w:jc w:val="both"/>
      </w:pPr>
      <w:r>
        <w:t>U 2025. nabavljena je službena odjeća za djelatnike lučkih kapetanija, a u 2024. nije bilo rashoda za nabavu službene odjeće i obuće.</w:t>
      </w:r>
    </w:p>
    <w:p w14:paraId="4AA3C922" w14:textId="77777777" w:rsidR="00BB69DB" w:rsidRDefault="00BB69DB" w:rsidP="00BB69DB">
      <w:pPr>
        <w:jc w:val="both"/>
      </w:pPr>
      <w:r>
        <w:t>Materijalni rashodi veći su u odnosu na 2024. godinu zbog rasta cijena proizvoda i usluga. Rashodi za računalne usluge u 2025. godini veći su, u odnosu na 2024. godinu, zbog rasta cijena usluga. Rashodi za zakupnine veći su u odnosu na 2024. godinu zbog rasta cijena usluga za licence.</w:t>
      </w:r>
    </w:p>
    <w:p w14:paraId="08680129" w14:textId="77777777" w:rsidR="00BB69DB" w:rsidRDefault="00BB69DB"/>
    <w:p w14:paraId="19013346" w14:textId="77777777" w:rsidR="00BB69DB" w:rsidRDefault="00BB69DB">
      <w:pPr>
        <w:keepNext/>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69DB" w14:paraId="774AF559" w14:textId="77777777">
        <w:trPr>
          <w:cantSplit/>
        </w:trPr>
        <w:tc>
          <w:tcPr>
            <w:tcW w:w="700" w:type="dxa"/>
            <w:shd w:val="clear" w:color="auto" w:fill="E7F0F9"/>
            <w:tcMar>
              <w:top w:w="0" w:type="dxa"/>
              <w:bottom w:w="0" w:type="dxa"/>
            </w:tcMar>
            <w:vAlign w:val="center"/>
          </w:tcPr>
          <w:p w14:paraId="5E18D2CE" w14:textId="77777777" w:rsidR="00BB69DB" w:rsidRDefault="00BB69DB">
            <w:pPr>
              <w:keepNext/>
              <w:keepLines/>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5C0286" w14:textId="77777777" w:rsidR="00BB69DB" w:rsidRDefault="00BB69DB">
            <w:pPr>
              <w:keepNext/>
              <w:keepLines/>
              <w:jc w:val="center"/>
            </w:pPr>
            <w:r>
              <w:rPr>
                <w:b/>
                <w:sz w:val="18"/>
              </w:rPr>
              <w:t>Opis stavke</w:t>
            </w:r>
          </w:p>
        </w:tc>
        <w:tc>
          <w:tcPr>
            <w:tcW w:w="700" w:type="dxa"/>
            <w:shd w:val="clear" w:color="auto" w:fill="E7F0F9"/>
            <w:tcMar>
              <w:top w:w="0" w:type="dxa"/>
              <w:bottom w:w="0" w:type="dxa"/>
            </w:tcMar>
            <w:vAlign w:val="center"/>
          </w:tcPr>
          <w:p w14:paraId="59D9B8C7" w14:textId="77777777" w:rsidR="00BB69DB" w:rsidRDefault="00BB69DB">
            <w:pPr>
              <w:keepNext/>
              <w:keepLines/>
              <w:jc w:val="center"/>
            </w:pPr>
            <w:r>
              <w:rPr>
                <w:b/>
                <w:sz w:val="18"/>
              </w:rPr>
              <w:t>Šifra</w:t>
            </w:r>
          </w:p>
        </w:tc>
        <w:tc>
          <w:tcPr>
            <w:tcW w:w="1860" w:type="dxa"/>
            <w:shd w:val="clear" w:color="auto" w:fill="E7F0F9"/>
            <w:tcMar>
              <w:top w:w="0" w:type="dxa"/>
              <w:bottom w:w="0" w:type="dxa"/>
            </w:tcMar>
            <w:vAlign w:val="center"/>
          </w:tcPr>
          <w:p w14:paraId="10928BEE" w14:textId="77777777" w:rsidR="00BB69DB" w:rsidRDefault="00BB69DB">
            <w:pPr>
              <w:keepNext/>
              <w:keepLines/>
              <w:jc w:val="center"/>
            </w:pPr>
            <w:r>
              <w:rPr>
                <w:b/>
                <w:sz w:val="18"/>
              </w:rPr>
              <w:t>Ostvareno u izvještajnom razdoblju prethodne godine</w:t>
            </w:r>
          </w:p>
        </w:tc>
        <w:tc>
          <w:tcPr>
            <w:tcW w:w="1860" w:type="dxa"/>
            <w:shd w:val="clear" w:color="auto" w:fill="E7F0F9"/>
            <w:tcMar>
              <w:top w:w="0" w:type="dxa"/>
              <w:bottom w:w="0" w:type="dxa"/>
            </w:tcMar>
            <w:vAlign w:val="center"/>
          </w:tcPr>
          <w:p w14:paraId="610ED092" w14:textId="77777777" w:rsidR="00BB69DB" w:rsidRDefault="00BB69DB">
            <w:pPr>
              <w:keepNext/>
              <w:keepLines/>
              <w:jc w:val="center"/>
            </w:pPr>
            <w:r>
              <w:rPr>
                <w:b/>
                <w:sz w:val="18"/>
              </w:rPr>
              <w:t>Ostvareno u izvještajnom razdoblju tekuće godine</w:t>
            </w:r>
          </w:p>
        </w:tc>
        <w:tc>
          <w:tcPr>
            <w:tcW w:w="700" w:type="dxa"/>
            <w:shd w:val="clear" w:color="auto" w:fill="E7F0F9"/>
            <w:tcMar>
              <w:top w:w="0" w:type="dxa"/>
              <w:bottom w:w="0" w:type="dxa"/>
            </w:tcMar>
            <w:vAlign w:val="center"/>
          </w:tcPr>
          <w:p w14:paraId="10646A34" w14:textId="77777777" w:rsidR="00BB69DB" w:rsidRDefault="00BB69DB">
            <w:pPr>
              <w:keepNext/>
              <w:keepLines/>
              <w:jc w:val="center"/>
            </w:pPr>
            <w:r>
              <w:rPr>
                <w:b/>
                <w:sz w:val="18"/>
              </w:rPr>
              <w:t>Indeks (%)</w:t>
            </w:r>
          </w:p>
        </w:tc>
      </w:tr>
      <w:tr w:rsidR="00BB69DB" w14:paraId="339A2E67" w14:textId="77777777">
        <w:trPr>
          <w:cantSplit/>
          <w:trHeight w:val="560"/>
        </w:trPr>
        <w:tc>
          <w:tcPr>
            <w:tcW w:w="700" w:type="dxa"/>
            <w:tcMar>
              <w:top w:w="0" w:type="dxa"/>
              <w:bottom w:w="0" w:type="dxa"/>
            </w:tcMar>
            <w:vAlign w:val="center"/>
          </w:tcPr>
          <w:p w14:paraId="11B35AD6" w14:textId="77777777" w:rsidR="00BB69DB" w:rsidRDefault="00BB69DB">
            <w:pPr>
              <w:keepNext/>
              <w:keepLines/>
            </w:pPr>
            <w:r>
              <w:rPr>
                <w:sz w:val="18"/>
              </w:rPr>
              <w:t>34</w:t>
            </w:r>
          </w:p>
        </w:tc>
        <w:tc>
          <w:tcPr>
            <w:tcW w:w="3180" w:type="dxa"/>
            <w:tcMar>
              <w:top w:w="0" w:type="dxa"/>
              <w:bottom w:w="0" w:type="dxa"/>
            </w:tcMar>
            <w:vAlign w:val="center"/>
          </w:tcPr>
          <w:p w14:paraId="28B06ED4" w14:textId="77777777" w:rsidR="00BB69DB" w:rsidRDefault="00BB69DB">
            <w:pPr>
              <w:keepNext/>
              <w:keepLines/>
            </w:pPr>
            <w:r>
              <w:rPr>
                <w:sz w:val="18"/>
              </w:rPr>
              <w:t>Financijski rashodi (šifre 341+342+343)</w:t>
            </w:r>
          </w:p>
        </w:tc>
        <w:tc>
          <w:tcPr>
            <w:tcW w:w="700" w:type="dxa"/>
            <w:tcMar>
              <w:top w:w="0" w:type="dxa"/>
              <w:bottom w:w="0" w:type="dxa"/>
            </w:tcMar>
            <w:vAlign w:val="center"/>
          </w:tcPr>
          <w:p w14:paraId="13987F81" w14:textId="77777777" w:rsidR="00BB69DB" w:rsidRDefault="00BB69DB">
            <w:pPr>
              <w:keepNext/>
              <w:keepLines/>
            </w:pPr>
            <w:r>
              <w:rPr>
                <w:sz w:val="18"/>
              </w:rPr>
              <w:t>34</w:t>
            </w:r>
          </w:p>
        </w:tc>
        <w:tc>
          <w:tcPr>
            <w:tcW w:w="1860" w:type="dxa"/>
            <w:tcMar>
              <w:top w:w="0" w:type="dxa"/>
              <w:bottom w:w="0" w:type="dxa"/>
            </w:tcMar>
            <w:vAlign w:val="center"/>
          </w:tcPr>
          <w:p w14:paraId="5C602C16" w14:textId="77777777" w:rsidR="00BB69DB" w:rsidRDefault="00BB69DB">
            <w:pPr>
              <w:keepNext/>
              <w:keepLines/>
              <w:jc w:val="right"/>
            </w:pPr>
            <w:r>
              <w:rPr>
                <w:sz w:val="18"/>
              </w:rPr>
              <w:t>90.488,10</w:t>
            </w:r>
          </w:p>
        </w:tc>
        <w:tc>
          <w:tcPr>
            <w:tcW w:w="1860" w:type="dxa"/>
            <w:tcMar>
              <w:top w:w="0" w:type="dxa"/>
              <w:bottom w:w="0" w:type="dxa"/>
            </w:tcMar>
            <w:vAlign w:val="center"/>
          </w:tcPr>
          <w:p w14:paraId="708838FB" w14:textId="77777777" w:rsidR="00BB69DB" w:rsidRDefault="00BB69DB">
            <w:pPr>
              <w:keepNext/>
              <w:keepLines/>
              <w:jc w:val="right"/>
            </w:pPr>
            <w:r>
              <w:rPr>
                <w:sz w:val="18"/>
              </w:rPr>
              <w:t>32.369,74</w:t>
            </w:r>
          </w:p>
        </w:tc>
        <w:tc>
          <w:tcPr>
            <w:tcW w:w="700" w:type="dxa"/>
            <w:tcMar>
              <w:top w:w="0" w:type="dxa"/>
              <w:bottom w:w="0" w:type="dxa"/>
            </w:tcMar>
            <w:vAlign w:val="center"/>
          </w:tcPr>
          <w:p w14:paraId="34FEF217" w14:textId="77777777" w:rsidR="00BB69DB" w:rsidRDefault="00BB69DB">
            <w:pPr>
              <w:keepNext/>
              <w:keepLines/>
              <w:jc w:val="right"/>
            </w:pPr>
            <w:r>
              <w:rPr>
                <w:sz w:val="18"/>
              </w:rPr>
              <w:t>35,8</w:t>
            </w:r>
          </w:p>
        </w:tc>
      </w:tr>
    </w:tbl>
    <w:p w14:paraId="3CF2FB49" w14:textId="77777777" w:rsidR="00BB69DB" w:rsidRDefault="00BB69DB"/>
    <w:p w14:paraId="509EFF81" w14:textId="77777777" w:rsidR="00BB69DB" w:rsidRDefault="00BB69DB">
      <w:r>
        <w:t>U 2025. godini evidentirani su znatno manji financijski rashodi jer je u 2025. godini zaprimljeno 6 pravomoćnih sudskih presuda po kojima bi Ministarstvo bilo dužno platiti zatezne kamate, a u 2024. godini plaćene su zatezne kamate i troškovi postupka temeljem 12 sudskih presuda.</w:t>
      </w:r>
    </w:p>
    <w:p w14:paraId="7EBCC57C" w14:textId="77777777" w:rsidR="00BB69DB" w:rsidRDefault="00BB69DB"/>
    <w:p w14:paraId="2AF12D25" w14:textId="77777777" w:rsidR="00BB69DB" w:rsidRDefault="00BB69DB">
      <w:pPr>
        <w:keepNext/>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69DB" w14:paraId="52315C5F" w14:textId="77777777">
        <w:trPr>
          <w:cantSplit/>
        </w:trPr>
        <w:tc>
          <w:tcPr>
            <w:tcW w:w="700" w:type="dxa"/>
            <w:shd w:val="clear" w:color="auto" w:fill="E7F0F9"/>
            <w:tcMar>
              <w:top w:w="0" w:type="dxa"/>
              <w:bottom w:w="0" w:type="dxa"/>
            </w:tcMar>
            <w:vAlign w:val="center"/>
          </w:tcPr>
          <w:p w14:paraId="015DAB1A" w14:textId="77777777" w:rsidR="00BB69DB" w:rsidRDefault="00BB69DB">
            <w:pPr>
              <w:keepNext/>
              <w:keepLines/>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79C2F1" w14:textId="77777777" w:rsidR="00BB69DB" w:rsidRDefault="00BB69DB">
            <w:pPr>
              <w:keepNext/>
              <w:keepLines/>
              <w:jc w:val="center"/>
            </w:pPr>
            <w:r>
              <w:rPr>
                <w:b/>
                <w:sz w:val="18"/>
              </w:rPr>
              <w:t>Opis stavke</w:t>
            </w:r>
          </w:p>
        </w:tc>
        <w:tc>
          <w:tcPr>
            <w:tcW w:w="700" w:type="dxa"/>
            <w:shd w:val="clear" w:color="auto" w:fill="E7F0F9"/>
            <w:tcMar>
              <w:top w:w="0" w:type="dxa"/>
              <w:bottom w:w="0" w:type="dxa"/>
            </w:tcMar>
            <w:vAlign w:val="center"/>
          </w:tcPr>
          <w:p w14:paraId="37383766" w14:textId="77777777" w:rsidR="00BB69DB" w:rsidRDefault="00BB69DB">
            <w:pPr>
              <w:keepNext/>
              <w:keepLines/>
              <w:jc w:val="center"/>
            </w:pPr>
            <w:r>
              <w:rPr>
                <w:b/>
                <w:sz w:val="18"/>
              </w:rPr>
              <w:t>Šifra</w:t>
            </w:r>
          </w:p>
        </w:tc>
        <w:tc>
          <w:tcPr>
            <w:tcW w:w="1860" w:type="dxa"/>
            <w:shd w:val="clear" w:color="auto" w:fill="E7F0F9"/>
            <w:tcMar>
              <w:top w:w="0" w:type="dxa"/>
              <w:bottom w:w="0" w:type="dxa"/>
            </w:tcMar>
            <w:vAlign w:val="center"/>
          </w:tcPr>
          <w:p w14:paraId="02B20A9A" w14:textId="77777777" w:rsidR="00BB69DB" w:rsidRDefault="00BB69DB">
            <w:pPr>
              <w:keepNext/>
              <w:keepLines/>
              <w:jc w:val="center"/>
            </w:pPr>
            <w:r>
              <w:rPr>
                <w:b/>
                <w:sz w:val="18"/>
              </w:rPr>
              <w:t>Ostvareno u izvještajnom razdoblju prethodne godine</w:t>
            </w:r>
          </w:p>
        </w:tc>
        <w:tc>
          <w:tcPr>
            <w:tcW w:w="1860" w:type="dxa"/>
            <w:shd w:val="clear" w:color="auto" w:fill="E7F0F9"/>
            <w:tcMar>
              <w:top w:w="0" w:type="dxa"/>
              <w:bottom w:w="0" w:type="dxa"/>
            </w:tcMar>
            <w:vAlign w:val="center"/>
          </w:tcPr>
          <w:p w14:paraId="034D6634" w14:textId="77777777" w:rsidR="00BB69DB" w:rsidRDefault="00BB69DB">
            <w:pPr>
              <w:keepNext/>
              <w:keepLines/>
              <w:jc w:val="center"/>
            </w:pPr>
            <w:r>
              <w:rPr>
                <w:b/>
                <w:sz w:val="18"/>
              </w:rPr>
              <w:t>Ostvareno u izvještajnom razdoblju tekuće godine</w:t>
            </w:r>
          </w:p>
        </w:tc>
        <w:tc>
          <w:tcPr>
            <w:tcW w:w="700" w:type="dxa"/>
            <w:shd w:val="clear" w:color="auto" w:fill="E7F0F9"/>
            <w:tcMar>
              <w:top w:w="0" w:type="dxa"/>
              <w:bottom w:w="0" w:type="dxa"/>
            </w:tcMar>
            <w:vAlign w:val="center"/>
          </w:tcPr>
          <w:p w14:paraId="4B568B78" w14:textId="77777777" w:rsidR="00BB69DB" w:rsidRDefault="00BB69DB">
            <w:pPr>
              <w:keepNext/>
              <w:keepLines/>
              <w:jc w:val="center"/>
            </w:pPr>
            <w:r>
              <w:rPr>
                <w:b/>
                <w:sz w:val="18"/>
              </w:rPr>
              <w:t>Indeks (%)</w:t>
            </w:r>
          </w:p>
        </w:tc>
      </w:tr>
      <w:tr w:rsidR="00BB69DB" w14:paraId="30431686" w14:textId="77777777">
        <w:trPr>
          <w:cantSplit/>
          <w:trHeight w:val="560"/>
        </w:trPr>
        <w:tc>
          <w:tcPr>
            <w:tcW w:w="700" w:type="dxa"/>
            <w:tcMar>
              <w:top w:w="0" w:type="dxa"/>
              <w:bottom w:w="0" w:type="dxa"/>
            </w:tcMar>
            <w:vAlign w:val="center"/>
          </w:tcPr>
          <w:p w14:paraId="4AB17C48" w14:textId="77777777" w:rsidR="00BB69DB" w:rsidRDefault="00BB69DB">
            <w:pPr>
              <w:keepNext/>
              <w:keepLines/>
            </w:pPr>
            <w:r>
              <w:rPr>
                <w:sz w:val="18"/>
              </w:rPr>
              <w:t>35</w:t>
            </w:r>
          </w:p>
        </w:tc>
        <w:tc>
          <w:tcPr>
            <w:tcW w:w="3180" w:type="dxa"/>
            <w:tcMar>
              <w:top w:w="0" w:type="dxa"/>
              <w:bottom w:w="0" w:type="dxa"/>
            </w:tcMar>
            <w:vAlign w:val="center"/>
          </w:tcPr>
          <w:p w14:paraId="15F9B2D8" w14:textId="77777777" w:rsidR="00BB69DB" w:rsidRDefault="00BB69DB">
            <w:pPr>
              <w:keepNext/>
              <w:keepLines/>
            </w:pPr>
            <w:r>
              <w:rPr>
                <w:sz w:val="18"/>
              </w:rPr>
              <w:t>Subvencije (šifre 351+352+353)</w:t>
            </w:r>
          </w:p>
        </w:tc>
        <w:tc>
          <w:tcPr>
            <w:tcW w:w="700" w:type="dxa"/>
            <w:tcMar>
              <w:top w:w="0" w:type="dxa"/>
              <w:bottom w:w="0" w:type="dxa"/>
            </w:tcMar>
            <w:vAlign w:val="center"/>
          </w:tcPr>
          <w:p w14:paraId="274ED665" w14:textId="77777777" w:rsidR="00BB69DB" w:rsidRDefault="00BB69DB">
            <w:pPr>
              <w:keepNext/>
              <w:keepLines/>
            </w:pPr>
            <w:r>
              <w:rPr>
                <w:sz w:val="18"/>
              </w:rPr>
              <w:t>35</w:t>
            </w:r>
          </w:p>
        </w:tc>
        <w:tc>
          <w:tcPr>
            <w:tcW w:w="1860" w:type="dxa"/>
            <w:tcMar>
              <w:top w:w="0" w:type="dxa"/>
              <w:bottom w:w="0" w:type="dxa"/>
            </w:tcMar>
            <w:vAlign w:val="center"/>
          </w:tcPr>
          <w:p w14:paraId="1683B6F0" w14:textId="77777777" w:rsidR="00BB69DB" w:rsidRDefault="00BB69DB">
            <w:pPr>
              <w:keepNext/>
              <w:keepLines/>
              <w:jc w:val="right"/>
            </w:pPr>
            <w:r>
              <w:rPr>
                <w:sz w:val="18"/>
              </w:rPr>
              <w:t>102.210.198,49</w:t>
            </w:r>
          </w:p>
        </w:tc>
        <w:tc>
          <w:tcPr>
            <w:tcW w:w="1860" w:type="dxa"/>
            <w:tcMar>
              <w:top w:w="0" w:type="dxa"/>
              <w:bottom w:w="0" w:type="dxa"/>
            </w:tcMar>
            <w:vAlign w:val="center"/>
          </w:tcPr>
          <w:p w14:paraId="560DCB49" w14:textId="77777777" w:rsidR="00BB69DB" w:rsidRDefault="00BB69DB">
            <w:pPr>
              <w:keepNext/>
              <w:keepLines/>
              <w:jc w:val="right"/>
            </w:pPr>
            <w:r>
              <w:rPr>
                <w:sz w:val="18"/>
              </w:rPr>
              <w:t>98.785.037,27</w:t>
            </w:r>
          </w:p>
        </w:tc>
        <w:tc>
          <w:tcPr>
            <w:tcW w:w="700" w:type="dxa"/>
            <w:tcMar>
              <w:top w:w="0" w:type="dxa"/>
              <w:bottom w:w="0" w:type="dxa"/>
            </w:tcMar>
            <w:vAlign w:val="center"/>
          </w:tcPr>
          <w:p w14:paraId="6A3C8EE7" w14:textId="77777777" w:rsidR="00BB69DB" w:rsidRDefault="00BB69DB">
            <w:pPr>
              <w:keepNext/>
              <w:keepLines/>
              <w:jc w:val="right"/>
            </w:pPr>
            <w:r>
              <w:rPr>
                <w:sz w:val="18"/>
              </w:rPr>
              <w:t>96,6</w:t>
            </w:r>
          </w:p>
        </w:tc>
      </w:tr>
    </w:tbl>
    <w:p w14:paraId="18C3EE05" w14:textId="77777777" w:rsidR="00BB69DB" w:rsidRDefault="00BB69DB"/>
    <w:p w14:paraId="2F8EF967" w14:textId="77777777" w:rsidR="00BB69DB" w:rsidRDefault="00BB69DB" w:rsidP="00BB69DB">
      <w:pPr>
        <w:jc w:val="both"/>
      </w:pPr>
      <w:r>
        <w:t xml:space="preserve">Najznačajniji rashodi za subvencije trgovačkim društvima u javnom sektoru odnose se na naknadu koja se dodjeljuje poduzetnicima kojima je povjereno obavljanje univerzalne poštanske usluge (15,5 </w:t>
      </w:r>
      <w:proofErr w:type="spellStart"/>
      <w:r>
        <w:t>mil</w:t>
      </w:r>
      <w:proofErr w:type="spellEnd"/>
      <w:r>
        <w:t xml:space="preserve"> EUR) i očuvanje prometne povezanosti regija-domaći linijski zračni promet (26,1 </w:t>
      </w:r>
      <w:proofErr w:type="spellStart"/>
      <w:r>
        <w:t>mil</w:t>
      </w:r>
      <w:proofErr w:type="spellEnd"/>
      <w:r>
        <w:t xml:space="preserve"> EUR).  </w:t>
      </w:r>
    </w:p>
    <w:p w14:paraId="1B02B81E" w14:textId="77777777" w:rsidR="00BB69DB" w:rsidRDefault="00BB69DB" w:rsidP="00BB69DB">
      <w:pPr>
        <w:jc w:val="both"/>
      </w:pPr>
      <w:r>
        <w:t xml:space="preserve">Najznačajniji rashodi za subvencije trgovačkim društvima izvan javnog sektora ostvareni su po koncesijskom ugovoru Bina-Istra (29,9 </w:t>
      </w:r>
      <w:proofErr w:type="spellStart"/>
      <w:r>
        <w:t>mil</w:t>
      </w:r>
      <w:proofErr w:type="spellEnd"/>
      <w:r>
        <w:t xml:space="preserve"> EUR) i po koncesijskom ugovoru Zagreb-Macelj (12,9 </w:t>
      </w:r>
      <w:proofErr w:type="spellStart"/>
      <w:r>
        <w:t>mil</w:t>
      </w:r>
      <w:proofErr w:type="spellEnd"/>
      <w:r>
        <w:t xml:space="preserve"> EUR).</w:t>
      </w:r>
    </w:p>
    <w:p w14:paraId="525E0641" w14:textId="77777777" w:rsidR="00BB69DB" w:rsidRDefault="00BB69DB" w:rsidP="00BB69DB">
      <w:pPr>
        <w:jc w:val="both"/>
      </w:pPr>
      <w:r>
        <w:t xml:space="preserve">U 2025. godini rashodi za subvencije manji su za 3,4 </w:t>
      </w:r>
      <w:proofErr w:type="spellStart"/>
      <w:r>
        <w:t>mil</w:t>
      </w:r>
      <w:proofErr w:type="spellEnd"/>
      <w:r>
        <w:t xml:space="preserve"> EUR u odnosu na isto razdoblje 2024. godine. Razlog manjih rashoda za subvencije u 2025. godini u odnosu na 2024. odnosi se na način isplate subvencije za obavljanje univerzalne poštanske usluge. U 2024. godini ugovorena je kvartalna isplata subvencije, te je u 2024. godini isplaćena subvencija za 3 kvartala prije konačnog obračuna i konačni obračun za 2023. godinu, a u 2025. su isplaćene naknade za 4 kvartala. U 2025. godini AKD-u su isplaćene subvencije za izradu iskaznica za osobe s invaliditetom u iznosu od </w:t>
      </w:r>
      <w:r>
        <w:lastRenderedPageBreak/>
        <w:t xml:space="preserve">1,4 </w:t>
      </w:r>
      <w:proofErr w:type="spellStart"/>
      <w:r>
        <w:t>mil</w:t>
      </w:r>
      <w:proofErr w:type="spellEnd"/>
      <w:r>
        <w:t xml:space="preserve"> EUR, a u 2024. godini je sustav izrade iskaznica realiziran kroz NPOO. Za očuvanje prometne povezanosti regija-domaći linijski zračni promet u 2025. godini isplaćene su subvencije za 4,4 </w:t>
      </w:r>
      <w:proofErr w:type="spellStart"/>
      <w:r>
        <w:t>mil</w:t>
      </w:r>
      <w:proofErr w:type="spellEnd"/>
      <w:r>
        <w:t xml:space="preserve"> EUR veće u odnosu na 2024. godinu. Temeljem Dodatka I Ugovora o obvezi obavljanja domaćeg linijskog zračnog prijevoza za razdoblje 4.07.2022.-28.03.2026. isplaćena je dodatna subvencija te prijevremena isplata sredstava po Ugovoru. Prijevremena isplata sredstava po Ugovoru koji je na snazi do 28.03.2026. evidentirana je kao predujam.</w:t>
      </w:r>
    </w:p>
    <w:p w14:paraId="7C22BDA8" w14:textId="77777777" w:rsidR="00BB69DB" w:rsidRDefault="00BB69DB"/>
    <w:p w14:paraId="5BD2D243" w14:textId="77777777" w:rsidR="00BB69DB" w:rsidRDefault="00BB69DB">
      <w:pPr>
        <w:keepNext/>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69DB" w14:paraId="1842F7B7" w14:textId="77777777">
        <w:trPr>
          <w:cantSplit/>
        </w:trPr>
        <w:tc>
          <w:tcPr>
            <w:tcW w:w="700" w:type="dxa"/>
            <w:shd w:val="clear" w:color="auto" w:fill="E7F0F9"/>
            <w:tcMar>
              <w:top w:w="0" w:type="dxa"/>
              <w:bottom w:w="0" w:type="dxa"/>
            </w:tcMar>
            <w:vAlign w:val="center"/>
          </w:tcPr>
          <w:p w14:paraId="41D93479" w14:textId="77777777" w:rsidR="00BB69DB" w:rsidRDefault="00BB69DB">
            <w:pPr>
              <w:keepNext/>
              <w:keepLines/>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BEE185" w14:textId="77777777" w:rsidR="00BB69DB" w:rsidRDefault="00BB69DB">
            <w:pPr>
              <w:keepNext/>
              <w:keepLines/>
              <w:jc w:val="center"/>
            </w:pPr>
            <w:r>
              <w:rPr>
                <w:b/>
                <w:sz w:val="18"/>
              </w:rPr>
              <w:t>Opis stavke</w:t>
            </w:r>
          </w:p>
        </w:tc>
        <w:tc>
          <w:tcPr>
            <w:tcW w:w="700" w:type="dxa"/>
            <w:shd w:val="clear" w:color="auto" w:fill="E7F0F9"/>
            <w:tcMar>
              <w:top w:w="0" w:type="dxa"/>
              <w:bottom w:w="0" w:type="dxa"/>
            </w:tcMar>
            <w:vAlign w:val="center"/>
          </w:tcPr>
          <w:p w14:paraId="69DE83CE" w14:textId="77777777" w:rsidR="00BB69DB" w:rsidRDefault="00BB69DB">
            <w:pPr>
              <w:keepNext/>
              <w:keepLines/>
              <w:jc w:val="center"/>
            </w:pPr>
            <w:r>
              <w:rPr>
                <w:b/>
                <w:sz w:val="18"/>
              </w:rPr>
              <w:t>Šifra</w:t>
            </w:r>
          </w:p>
        </w:tc>
        <w:tc>
          <w:tcPr>
            <w:tcW w:w="1860" w:type="dxa"/>
            <w:shd w:val="clear" w:color="auto" w:fill="E7F0F9"/>
            <w:tcMar>
              <w:top w:w="0" w:type="dxa"/>
              <w:bottom w:w="0" w:type="dxa"/>
            </w:tcMar>
            <w:vAlign w:val="center"/>
          </w:tcPr>
          <w:p w14:paraId="18736389" w14:textId="77777777" w:rsidR="00BB69DB" w:rsidRDefault="00BB69DB">
            <w:pPr>
              <w:keepNext/>
              <w:keepLines/>
              <w:jc w:val="center"/>
            </w:pPr>
            <w:r>
              <w:rPr>
                <w:b/>
                <w:sz w:val="18"/>
              </w:rPr>
              <w:t>Ostvareno u izvještajnom razdoblju prethodne godine</w:t>
            </w:r>
          </w:p>
        </w:tc>
        <w:tc>
          <w:tcPr>
            <w:tcW w:w="1860" w:type="dxa"/>
            <w:shd w:val="clear" w:color="auto" w:fill="E7F0F9"/>
            <w:tcMar>
              <w:top w:w="0" w:type="dxa"/>
              <w:bottom w:w="0" w:type="dxa"/>
            </w:tcMar>
            <w:vAlign w:val="center"/>
          </w:tcPr>
          <w:p w14:paraId="1DBE2F40" w14:textId="77777777" w:rsidR="00BB69DB" w:rsidRDefault="00BB69DB">
            <w:pPr>
              <w:keepNext/>
              <w:keepLines/>
              <w:jc w:val="center"/>
            </w:pPr>
            <w:r>
              <w:rPr>
                <w:b/>
                <w:sz w:val="18"/>
              </w:rPr>
              <w:t>Ostvareno u izvještajnom razdoblju tekuće godine</w:t>
            </w:r>
          </w:p>
        </w:tc>
        <w:tc>
          <w:tcPr>
            <w:tcW w:w="700" w:type="dxa"/>
            <w:shd w:val="clear" w:color="auto" w:fill="E7F0F9"/>
            <w:tcMar>
              <w:top w:w="0" w:type="dxa"/>
              <w:bottom w:w="0" w:type="dxa"/>
            </w:tcMar>
            <w:vAlign w:val="center"/>
          </w:tcPr>
          <w:p w14:paraId="242771BC" w14:textId="77777777" w:rsidR="00BB69DB" w:rsidRDefault="00BB69DB">
            <w:pPr>
              <w:keepNext/>
              <w:keepLines/>
              <w:jc w:val="center"/>
            </w:pPr>
            <w:r>
              <w:rPr>
                <w:b/>
                <w:sz w:val="18"/>
              </w:rPr>
              <w:t>Indeks (%)</w:t>
            </w:r>
          </w:p>
        </w:tc>
      </w:tr>
      <w:tr w:rsidR="00BB69DB" w14:paraId="666F527E" w14:textId="77777777">
        <w:trPr>
          <w:cantSplit/>
          <w:trHeight w:val="560"/>
        </w:trPr>
        <w:tc>
          <w:tcPr>
            <w:tcW w:w="700" w:type="dxa"/>
            <w:tcMar>
              <w:top w:w="0" w:type="dxa"/>
              <w:bottom w:w="0" w:type="dxa"/>
            </w:tcMar>
            <w:vAlign w:val="center"/>
          </w:tcPr>
          <w:p w14:paraId="5C25E6B8" w14:textId="77777777" w:rsidR="00BB69DB" w:rsidRDefault="00BB69DB">
            <w:pPr>
              <w:keepNext/>
              <w:keepLines/>
            </w:pPr>
            <w:r>
              <w:rPr>
                <w:sz w:val="18"/>
              </w:rPr>
              <w:t>36</w:t>
            </w:r>
          </w:p>
        </w:tc>
        <w:tc>
          <w:tcPr>
            <w:tcW w:w="3180" w:type="dxa"/>
            <w:tcMar>
              <w:top w:w="0" w:type="dxa"/>
              <w:bottom w:w="0" w:type="dxa"/>
            </w:tcMar>
            <w:vAlign w:val="center"/>
          </w:tcPr>
          <w:p w14:paraId="3511065F" w14:textId="77777777" w:rsidR="00BB69DB" w:rsidRDefault="00BB69DB">
            <w:pPr>
              <w:keepNext/>
              <w:keepLines/>
            </w:pPr>
            <w:r>
              <w:rPr>
                <w:sz w:val="18"/>
              </w:rPr>
              <w:t>Pomoći dane u inozemstvo i unutar općeg proračuna (šifre 361+362+363+365+366+367+368+369)</w:t>
            </w:r>
          </w:p>
        </w:tc>
        <w:tc>
          <w:tcPr>
            <w:tcW w:w="700" w:type="dxa"/>
            <w:tcMar>
              <w:top w:w="0" w:type="dxa"/>
              <w:bottom w:w="0" w:type="dxa"/>
            </w:tcMar>
            <w:vAlign w:val="center"/>
          </w:tcPr>
          <w:p w14:paraId="692E4912" w14:textId="77777777" w:rsidR="00BB69DB" w:rsidRDefault="00BB69DB">
            <w:pPr>
              <w:keepNext/>
              <w:keepLines/>
            </w:pPr>
            <w:r>
              <w:rPr>
                <w:sz w:val="18"/>
              </w:rPr>
              <w:t>36</w:t>
            </w:r>
          </w:p>
        </w:tc>
        <w:tc>
          <w:tcPr>
            <w:tcW w:w="1860" w:type="dxa"/>
            <w:tcMar>
              <w:top w:w="0" w:type="dxa"/>
              <w:bottom w:w="0" w:type="dxa"/>
            </w:tcMar>
            <w:vAlign w:val="center"/>
          </w:tcPr>
          <w:p w14:paraId="2FB61A39" w14:textId="77777777" w:rsidR="00BB69DB" w:rsidRDefault="00BB69DB">
            <w:pPr>
              <w:keepNext/>
              <w:keepLines/>
              <w:jc w:val="right"/>
            </w:pPr>
            <w:r>
              <w:rPr>
                <w:sz w:val="18"/>
              </w:rPr>
              <w:t>970.047.707,41</w:t>
            </w:r>
          </w:p>
        </w:tc>
        <w:tc>
          <w:tcPr>
            <w:tcW w:w="1860" w:type="dxa"/>
            <w:tcMar>
              <w:top w:w="0" w:type="dxa"/>
              <w:bottom w:w="0" w:type="dxa"/>
            </w:tcMar>
            <w:vAlign w:val="center"/>
          </w:tcPr>
          <w:p w14:paraId="7818B8A6" w14:textId="77777777" w:rsidR="00BB69DB" w:rsidRDefault="00BB69DB">
            <w:pPr>
              <w:keepNext/>
              <w:keepLines/>
              <w:jc w:val="right"/>
            </w:pPr>
            <w:r>
              <w:rPr>
                <w:sz w:val="18"/>
              </w:rPr>
              <w:t>1.111.859.700,29</w:t>
            </w:r>
          </w:p>
        </w:tc>
        <w:tc>
          <w:tcPr>
            <w:tcW w:w="700" w:type="dxa"/>
            <w:tcMar>
              <w:top w:w="0" w:type="dxa"/>
              <w:bottom w:w="0" w:type="dxa"/>
            </w:tcMar>
            <w:vAlign w:val="center"/>
          </w:tcPr>
          <w:p w14:paraId="67709E21" w14:textId="77777777" w:rsidR="00BB69DB" w:rsidRDefault="00BB69DB">
            <w:pPr>
              <w:keepNext/>
              <w:keepLines/>
              <w:jc w:val="right"/>
            </w:pPr>
            <w:r>
              <w:rPr>
                <w:sz w:val="18"/>
              </w:rPr>
              <w:t>114,6</w:t>
            </w:r>
          </w:p>
        </w:tc>
      </w:tr>
    </w:tbl>
    <w:p w14:paraId="57BCAB4D" w14:textId="77777777" w:rsidR="00BB69DB" w:rsidRDefault="00BB69DB"/>
    <w:p w14:paraId="7C0488A7" w14:textId="77777777" w:rsidR="00BB69DB" w:rsidRDefault="00BB69DB" w:rsidP="00BB69DB">
      <w:pPr>
        <w:jc w:val="both"/>
      </w:pPr>
      <w:r>
        <w:t xml:space="preserve">U 2025. rashodi za pomoći dane unutar općeg proračuna veći su za 141,9 </w:t>
      </w:r>
      <w:proofErr w:type="spellStart"/>
      <w:r>
        <w:t>mil</w:t>
      </w:r>
      <w:proofErr w:type="spellEnd"/>
      <w:r>
        <w:t xml:space="preserve"> EUR u odnosu na 2024. godinu.</w:t>
      </w:r>
    </w:p>
    <w:p w14:paraId="54FB6D25" w14:textId="77777777" w:rsidR="00BB69DB" w:rsidRDefault="00BB69DB" w:rsidP="00BB69DB">
      <w:pPr>
        <w:jc w:val="both"/>
      </w:pPr>
      <w:r>
        <w:t xml:space="preserve">Najznačajniji rashodi za dane pomoći ostvareni su za naknade u cijeni goriva za HC, HAC i HŽI (469,8 </w:t>
      </w:r>
      <w:proofErr w:type="spellStart"/>
      <w:r>
        <w:t>mil</w:t>
      </w:r>
      <w:proofErr w:type="spellEnd"/>
      <w:r>
        <w:t xml:space="preserve"> EUR), za financiranje i sufinanciranje građenja i modernizacije željezničke infrastrukture (239 </w:t>
      </w:r>
      <w:proofErr w:type="spellStart"/>
      <w:r>
        <w:t>mil</w:t>
      </w:r>
      <w:proofErr w:type="spellEnd"/>
      <w:r>
        <w:t xml:space="preserve"> EUR), poticanje željezničkog putničkog prijevoza (152,9 </w:t>
      </w:r>
      <w:proofErr w:type="spellStart"/>
      <w:r>
        <w:t>mil</w:t>
      </w:r>
      <w:proofErr w:type="spellEnd"/>
      <w:r>
        <w:t xml:space="preserve"> EUR) i za upravljanje, organizaciju i regulaciju željezničkog prometa (117,2 </w:t>
      </w:r>
      <w:proofErr w:type="spellStart"/>
      <w:r>
        <w:t>mil</w:t>
      </w:r>
      <w:proofErr w:type="spellEnd"/>
      <w:r>
        <w:t xml:space="preserve"> EUR).</w:t>
      </w:r>
    </w:p>
    <w:p w14:paraId="4C9715A8" w14:textId="77777777" w:rsidR="00BB69DB" w:rsidRDefault="00BB69DB" w:rsidP="00BB69DB">
      <w:pPr>
        <w:jc w:val="both"/>
      </w:pPr>
      <w:r>
        <w:t xml:space="preserve">Za naknade u cijeni goriva za HC, HAC i HŽI u 2025. planirano je 17,8 </w:t>
      </w:r>
      <w:proofErr w:type="spellStart"/>
      <w:r>
        <w:t>mil</w:t>
      </w:r>
      <w:proofErr w:type="spellEnd"/>
      <w:r>
        <w:t xml:space="preserve"> EUR više nego 2024. . 53 </w:t>
      </w:r>
      <w:proofErr w:type="spellStart"/>
      <w:r>
        <w:t>mil</w:t>
      </w:r>
      <w:proofErr w:type="spellEnd"/>
      <w:r>
        <w:t xml:space="preserve"> EUR veći rashodi iz Državnog proračuna na A570344 Upravljanje, organizacija i regulacija željezničkog prometa u odnosu na 2024. godinu jer u 2024. nisu isplaćeni troškovi radnika na upravljanju, organizaciji i regulaciji željezničkog prometa za 09/2024, 10/2024 i 11/2024 sukladno ugovoru već su te obveze podmirene u 2025. Tijekom 2025. potpisan  je dodatak kolektivnom ugovoru čime su porasli troškovi plaća. Na A761011 Poticanje željezničkog putničkog prijevoza rashodi su veći za 37,7 </w:t>
      </w:r>
      <w:proofErr w:type="spellStart"/>
      <w:r>
        <w:t>mil</w:t>
      </w:r>
      <w:proofErr w:type="spellEnd"/>
      <w:r>
        <w:t xml:space="preserve"> EUR zbog rasta troškova plaća i troškova dobavljača društva HŽ-PP.</w:t>
      </w:r>
    </w:p>
    <w:p w14:paraId="5B26B97A" w14:textId="77777777" w:rsidR="00BB69DB" w:rsidRDefault="00BB69DB" w:rsidP="00BB69DB">
      <w:pPr>
        <w:jc w:val="both"/>
      </w:pPr>
      <w:r>
        <w:t xml:space="preserve">U 2024. godine ostvareni su rashodi  na izvoru 810 u iznosu od 97,9 </w:t>
      </w:r>
      <w:proofErr w:type="spellStart"/>
      <w:r>
        <w:t>mil</w:t>
      </w:r>
      <w:proofErr w:type="spellEnd"/>
      <w:r>
        <w:t xml:space="preserve"> EUR, a 2025. godine za financiranje i sufinanciranje građenja i modernizacije željezničke infrastrukture iz izvora 810 ostvareni su rashodi od 144,7 </w:t>
      </w:r>
      <w:proofErr w:type="spellStart"/>
      <w:r>
        <w:t>mil</w:t>
      </w:r>
      <w:proofErr w:type="spellEnd"/>
      <w:r>
        <w:t xml:space="preserve"> EUR.</w:t>
      </w:r>
    </w:p>
    <w:p w14:paraId="77A6694A" w14:textId="77777777" w:rsidR="00BB69DB" w:rsidRDefault="00BB69DB" w:rsidP="00BB69DB">
      <w:pPr>
        <w:jc w:val="both"/>
      </w:pPr>
      <w:r>
        <w:t>Rashodi za potpore ŽUC-</w:t>
      </w:r>
      <w:proofErr w:type="spellStart"/>
      <w:r>
        <w:t>evim</w:t>
      </w:r>
      <w:proofErr w:type="spellEnd"/>
      <w:r>
        <w:t xml:space="preserve"> za održavanje i građenje županijskih i lokalnih cesta u 2025. godini manji su za 12 </w:t>
      </w:r>
      <w:proofErr w:type="spellStart"/>
      <w:r>
        <w:t>mil</w:t>
      </w:r>
      <w:proofErr w:type="spellEnd"/>
      <w:r>
        <w:t xml:space="preserve"> EUR u odnosu na 2024. godinu.</w:t>
      </w:r>
    </w:p>
    <w:p w14:paraId="46223245" w14:textId="77777777" w:rsidR="00BB69DB" w:rsidRDefault="00BB69DB" w:rsidP="00BB69DB">
      <w:pPr>
        <w:jc w:val="both"/>
      </w:pPr>
      <w:r>
        <w:t xml:space="preserve">Rashodi za Sufinanciranje javne usluge u cestovnom prijevozu u 2025. godini veći su za 5,8 </w:t>
      </w:r>
      <w:proofErr w:type="spellStart"/>
      <w:r>
        <w:t>mil</w:t>
      </w:r>
      <w:proofErr w:type="spellEnd"/>
      <w:r>
        <w:t xml:space="preserve"> EUR u odnosu na 2024. jer su u 2024. godini ugovori bili sklopljeni sa 6 županija, a u 2025. godini sa 7 županija.</w:t>
      </w:r>
    </w:p>
    <w:p w14:paraId="28EF5A9C" w14:textId="77777777" w:rsidR="00BB69DB" w:rsidRDefault="00BB69DB" w:rsidP="00BB69DB">
      <w:pPr>
        <w:jc w:val="both"/>
      </w:pPr>
      <w:r>
        <w:t xml:space="preserve">U 2025. godini ostvareni su manji rashodi iz izvora 562, 563  i 581 za 33,7 </w:t>
      </w:r>
      <w:proofErr w:type="spellStart"/>
      <w:r>
        <w:t>mil</w:t>
      </w:r>
      <w:proofErr w:type="spellEnd"/>
      <w:r>
        <w:t xml:space="preserve"> EUR jer je većina projekata završena, a pojedini projekti su u postupku </w:t>
      </w:r>
      <w:proofErr w:type="spellStart"/>
      <w:r>
        <w:t>faziranja</w:t>
      </w:r>
      <w:proofErr w:type="spellEnd"/>
      <w:r>
        <w:t xml:space="preserve"> i nastavljaju se u idućem programskom razdoblju.</w:t>
      </w:r>
    </w:p>
    <w:p w14:paraId="0173C879" w14:textId="77777777" w:rsidR="00BB69DB" w:rsidRDefault="00BB69DB" w:rsidP="00BB69DB">
      <w:pPr>
        <w:jc w:val="both"/>
      </w:pPr>
    </w:p>
    <w:p w14:paraId="51DE8D77" w14:textId="77777777" w:rsidR="00BB69DB" w:rsidRDefault="00BB69DB">
      <w:pPr>
        <w:keepNext/>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69DB" w14:paraId="3C9E42BE" w14:textId="77777777">
        <w:trPr>
          <w:cantSplit/>
        </w:trPr>
        <w:tc>
          <w:tcPr>
            <w:tcW w:w="700" w:type="dxa"/>
            <w:shd w:val="clear" w:color="auto" w:fill="E7F0F9"/>
            <w:tcMar>
              <w:top w:w="0" w:type="dxa"/>
              <w:bottom w:w="0" w:type="dxa"/>
            </w:tcMar>
            <w:vAlign w:val="center"/>
          </w:tcPr>
          <w:p w14:paraId="61E60152" w14:textId="77777777" w:rsidR="00BB69DB" w:rsidRDefault="00BB69DB">
            <w:pPr>
              <w:keepNext/>
              <w:keepLines/>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CD8C17" w14:textId="77777777" w:rsidR="00BB69DB" w:rsidRDefault="00BB69DB">
            <w:pPr>
              <w:keepNext/>
              <w:keepLines/>
              <w:jc w:val="center"/>
            </w:pPr>
            <w:r>
              <w:rPr>
                <w:b/>
                <w:sz w:val="18"/>
              </w:rPr>
              <w:t>Opis stavke</w:t>
            </w:r>
          </w:p>
        </w:tc>
        <w:tc>
          <w:tcPr>
            <w:tcW w:w="700" w:type="dxa"/>
            <w:shd w:val="clear" w:color="auto" w:fill="E7F0F9"/>
            <w:tcMar>
              <w:top w:w="0" w:type="dxa"/>
              <w:bottom w:w="0" w:type="dxa"/>
            </w:tcMar>
            <w:vAlign w:val="center"/>
          </w:tcPr>
          <w:p w14:paraId="1B843E60" w14:textId="77777777" w:rsidR="00BB69DB" w:rsidRDefault="00BB69DB">
            <w:pPr>
              <w:keepNext/>
              <w:keepLines/>
              <w:jc w:val="center"/>
            </w:pPr>
            <w:r>
              <w:rPr>
                <w:b/>
                <w:sz w:val="18"/>
              </w:rPr>
              <w:t>Šifra</w:t>
            </w:r>
          </w:p>
        </w:tc>
        <w:tc>
          <w:tcPr>
            <w:tcW w:w="1860" w:type="dxa"/>
            <w:shd w:val="clear" w:color="auto" w:fill="E7F0F9"/>
            <w:tcMar>
              <w:top w:w="0" w:type="dxa"/>
              <w:bottom w:w="0" w:type="dxa"/>
            </w:tcMar>
            <w:vAlign w:val="center"/>
          </w:tcPr>
          <w:p w14:paraId="3B59B18E" w14:textId="77777777" w:rsidR="00BB69DB" w:rsidRDefault="00BB69DB">
            <w:pPr>
              <w:keepNext/>
              <w:keepLines/>
              <w:jc w:val="center"/>
            </w:pPr>
            <w:r>
              <w:rPr>
                <w:b/>
                <w:sz w:val="18"/>
              </w:rPr>
              <w:t>Ostvareno u izvještajnom razdoblju prethodne godine</w:t>
            </w:r>
          </w:p>
        </w:tc>
        <w:tc>
          <w:tcPr>
            <w:tcW w:w="1860" w:type="dxa"/>
            <w:shd w:val="clear" w:color="auto" w:fill="E7F0F9"/>
            <w:tcMar>
              <w:top w:w="0" w:type="dxa"/>
              <w:bottom w:w="0" w:type="dxa"/>
            </w:tcMar>
            <w:vAlign w:val="center"/>
          </w:tcPr>
          <w:p w14:paraId="7AFD75C4" w14:textId="77777777" w:rsidR="00BB69DB" w:rsidRDefault="00BB69DB">
            <w:pPr>
              <w:keepNext/>
              <w:keepLines/>
              <w:jc w:val="center"/>
            </w:pPr>
            <w:r>
              <w:rPr>
                <w:b/>
                <w:sz w:val="18"/>
              </w:rPr>
              <w:t>Ostvareno u izvještajnom razdoblju tekuće godine</w:t>
            </w:r>
          </w:p>
        </w:tc>
        <w:tc>
          <w:tcPr>
            <w:tcW w:w="700" w:type="dxa"/>
            <w:shd w:val="clear" w:color="auto" w:fill="E7F0F9"/>
            <w:tcMar>
              <w:top w:w="0" w:type="dxa"/>
              <w:bottom w:w="0" w:type="dxa"/>
            </w:tcMar>
            <w:vAlign w:val="center"/>
          </w:tcPr>
          <w:p w14:paraId="689BD098" w14:textId="77777777" w:rsidR="00BB69DB" w:rsidRDefault="00BB69DB">
            <w:pPr>
              <w:keepNext/>
              <w:keepLines/>
              <w:jc w:val="center"/>
            </w:pPr>
            <w:r>
              <w:rPr>
                <w:b/>
                <w:sz w:val="18"/>
              </w:rPr>
              <w:t>Indeks (%)</w:t>
            </w:r>
          </w:p>
        </w:tc>
      </w:tr>
      <w:tr w:rsidR="00BB69DB" w14:paraId="4506FE3B" w14:textId="77777777">
        <w:trPr>
          <w:cantSplit/>
          <w:trHeight w:val="560"/>
        </w:trPr>
        <w:tc>
          <w:tcPr>
            <w:tcW w:w="700" w:type="dxa"/>
            <w:tcMar>
              <w:top w:w="0" w:type="dxa"/>
              <w:bottom w:w="0" w:type="dxa"/>
            </w:tcMar>
            <w:vAlign w:val="center"/>
          </w:tcPr>
          <w:p w14:paraId="1E733F9A" w14:textId="77777777" w:rsidR="00BB69DB" w:rsidRDefault="00BB69DB">
            <w:pPr>
              <w:keepNext/>
              <w:keepLines/>
            </w:pPr>
            <w:r>
              <w:rPr>
                <w:sz w:val="18"/>
              </w:rPr>
              <w:t>37</w:t>
            </w:r>
          </w:p>
        </w:tc>
        <w:tc>
          <w:tcPr>
            <w:tcW w:w="3180" w:type="dxa"/>
            <w:tcMar>
              <w:top w:w="0" w:type="dxa"/>
              <w:bottom w:w="0" w:type="dxa"/>
            </w:tcMar>
            <w:vAlign w:val="center"/>
          </w:tcPr>
          <w:p w14:paraId="465BC2D9" w14:textId="77777777" w:rsidR="00BB69DB" w:rsidRDefault="00BB69DB">
            <w:pPr>
              <w:keepNext/>
              <w:keepLines/>
            </w:pPr>
            <w:r>
              <w:rPr>
                <w:sz w:val="18"/>
              </w:rPr>
              <w:t>Naknade građanima i kućanstvima na temelju osiguranja i druge naknade (šifre 371+372)</w:t>
            </w:r>
          </w:p>
        </w:tc>
        <w:tc>
          <w:tcPr>
            <w:tcW w:w="700" w:type="dxa"/>
            <w:tcMar>
              <w:top w:w="0" w:type="dxa"/>
              <w:bottom w:w="0" w:type="dxa"/>
            </w:tcMar>
            <w:vAlign w:val="center"/>
          </w:tcPr>
          <w:p w14:paraId="494ED8BF" w14:textId="77777777" w:rsidR="00BB69DB" w:rsidRDefault="00BB69DB">
            <w:pPr>
              <w:keepNext/>
              <w:keepLines/>
            </w:pPr>
            <w:r>
              <w:rPr>
                <w:sz w:val="18"/>
              </w:rPr>
              <w:t>37</w:t>
            </w:r>
          </w:p>
        </w:tc>
        <w:tc>
          <w:tcPr>
            <w:tcW w:w="1860" w:type="dxa"/>
            <w:tcMar>
              <w:top w:w="0" w:type="dxa"/>
              <w:bottom w:w="0" w:type="dxa"/>
            </w:tcMar>
            <w:vAlign w:val="center"/>
          </w:tcPr>
          <w:p w14:paraId="70DDF006" w14:textId="77777777" w:rsidR="00BB69DB" w:rsidRDefault="00BB69DB">
            <w:pPr>
              <w:keepNext/>
              <w:keepLines/>
              <w:jc w:val="right"/>
            </w:pPr>
            <w:r>
              <w:rPr>
                <w:sz w:val="18"/>
              </w:rPr>
              <w:t>7.689.662,22</w:t>
            </w:r>
          </w:p>
        </w:tc>
        <w:tc>
          <w:tcPr>
            <w:tcW w:w="1860" w:type="dxa"/>
            <w:tcMar>
              <w:top w:w="0" w:type="dxa"/>
              <w:bottom w:w="0" w:type="dxa"/>
            </w:tcMar>
            <w:vAlign w:val="center"/>
          </w:tcPr>
          <w:p w14:paraId="0D4E11D1" w14:textId="77777777" w:rsidR="00BB69DB" w:rsidRDefault="00BB69DB">
            <w:pPr>
              <w:keepNext/>
              <w:keepLines/>
              <w:jc w:val="right"/>
            </w:pPr>
            <w:r>
              <w:rPr>
                <w:sz w:val="18"/>
              </w:rPr>
              <w:t>5.559.285,92</w:t>
            </w:r>
          </w:p>
        </w:tc>
        <w:tc>
          <w:tcPr>
            <w:tcW w:w="700" w:type="dxa"/>
            <w:tcMar>
              <w:top w:w="0" w:type="dxa"/>
              <w:bottom w:w="0" w:type="dxa"/>
            </w:tcMar>
            <w:vAlign w:val="center"/>
          </w:tcPr>
          <w:p w14:paraId="070E2751" w14:textId="77777777" w:rsidR="00BB69DB" w:rsidRDefault="00BB69DB">
            <w:pPr>
              <w:keepNext/>
              <w:keepLines/>
              <w:jc w:val="right"/>
            </w:pPr>
            <w:r>
              <w:rPr>
                <w:sz w:val="18"/>
              </w:rPr>
              <w:t>72,3</w:t>
            </w:r>
          </w:p>
        </w:tc>
      </w:tr>
    </w:tbl>
    <w:p w14:paraId="3853F2ED" w14:textId="77777777" w:rsidR="00BB69DB" w:rsidRDefault="00BB69DB"/>
    <w:p w14:paraId="079B519B" w14:textId="77777777" w:rsidR="00BB69DB" w:rsidRDefault="00BB69DB" w:rsidP="00BB69DB">
      <w:pPr>
        <w:jc w:val="both"/>
      </w:pPr>
      <w:r>
        <w:t>Rashodi za naknade građanima i kućanstvima u naravi manji su u 2025. godini u odnosu na 2024. budući da su u drugom polugodištu 2024. za sufinanciranje javne usluge otočnog cestovnog prijevoza sklopljeni ugovori sa županijama te su rashodi za javne usluge otočnog cestovnog prijevoza u 2025. evidentirani u okviru skupine 36.</w:t>
      </w:r>
    </w:p>
    <w:p w14:paraId="6C96632D" w14:textId="77777777" w:rsidR="00BB69DB" w:rsidRDefault="00BB69DB"/>
    <w:p w14:paraId="60679435" w14:textId="77777777" w:rsidR="00BB69DB" w:rsidRDefault="00BB69DB">
      <w:pPr>
        <w:keepNext/>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69DB" w14:paraId="5526058F" w14:textId="77777777">
        <w:trPr>
          <w:cantSplit/>
        </w:trPr>
        <w:tc>
          <w:tcPr>
            <w:tcW w:w="700" w:type="dxa"/>
            <w:shd w:val="clear" w:color="auto" w:fill="E7F0F9"/>
            <w:tcMar>
              <w:top w:w="0" w:type="dxa"/>
              <w:bottom w:w="0" w:type="dxa"/>
            </w:tcMar>
            <w:vAlign w:val="center"/>
          </w:tcPr>
          <w:p w14:paraId="00AD8D99" w14:textId="77777777" w:rsidR="00BB69DB" w:rsidRDefault="00BB69DB">
            <w:pPr>
              <w:keepNext/>
              <w:keepLines/>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1DDFFB" w14:textId="77777777" w:rsidR="00BB69DB" w:rsidRDefault="00BB69DB">
            <w:pPr>
              <w:keepNext/>
              <w:keepLines/>
              <w:jc w:val="center"/>
            </w:pPr>
            <w:r>
              <w:rPr>
                <w:b/>
                <w:sz w:val="18"/>
              </w:rPr>
              <w:t>Opis stavke</w:t>
            </w:r>
          </w:p>
        </w:tc>
        <w:tc>
          <w:tcPr>
            <w:tcW w:w="700" w:type="dxa"/>
            <w:shd w:val="clear" w:color="auto" w:fill="E7F0F9"/>
            <w:tcMar>
              <w:top w:w="0" w:type="dxa"/>
              <w:bottom w:w="0" w:type="dxa"/>
            </w:tcMar>
            <w:vAlign w:val="center"/>
          </w:tcPr>
          <w:p w14:paraId="1E2658E8" w14:textId="77777777" w:rsidR="00BB69DB" w:rsidRDefault="00BB69DB">
            <w:pPr>
              <w:keepNext/>
              <w:keepLines/>
              <w:jc w:val="center"/>
            </w:pPr>
            <w:r>
              <w:rPr>
                <w:b/>
                <w:sz w:val="18"/>
              </w:rPr>
              <w:t>Šifra</w:t>
            </w:r>
          </w:p>
        </w:tc>
        <w:tc>
          <w:tcPr>
            <w:tcW w:w="1860" w:type="dxa"/>
            <w:shd w:val="clear" w:color="auto" w:fill="E7F0F9"/>
            <w:tcMar>
              <w:top w:w="0" w:type="dxa"/>
              <w:bottom w:w="0" w:type="dxa"/>
            </w:tcMar>
            <w:vAlign w:val="center"/>
          </w:tcPr>
          <w:p w14:paraId="402D8E84" w14:textId="77777777" w:rsidR="00BB69DB" w:rsidRDefault="00BB69DB">
            <w:pPr>
              <w:keepNext/>
              <w:keepLines/>
              <w:jc w:val="center"/>
            </w:pPr>
            <w:r>
              <w:rPr>
                <w:b/>
                <w:sz w:val="18"/>
              </w:rPr>
              <w:t>Ostvareno u izvještajnom razdoblju prethodne godine</w:t>
            </w:r>
          </w:p>
        </w:tc>
        <w:tc>
          <w:tcPr>
            <w:tcW w:w="1860" w:type="dxa"/>
            <w:shd w:val="clear" w:color="auto" w:fill="E7F0F9"/>
            <w:tcMar>
              <w:top w:w="0" w:type="dxa"/>
              <w:bottom w:w="0" w:type="dxa"/>
            </w:tcMar>
            <w:vAlign w:val="center"/>
          </w:tcPr>
          <w:p w14:paraId="2EC13210" w14:textId="77777777" w:rsidR="00BB69DB" w:rsidRDefault="00BB69DB">
            <w:pPr>
              <w:keepNext/>
              <w:keepLines/>
              <w:jc w:val="center"/>
            </w:pPr>
            <w:r>
              <w:rPr>
                <w:b/>
                <w:sz w:val="18"/>
              </w:rPr>
              <w:t>Ostvareno u izvještajnom razdoblju tekuće godine</w:t>
            </w:r>
          </w:p>
        </w:tc>
        <w:tc>
          <w:tcPr>
            <w:tcW w:w="700" w:type="dxa"/>
            <w:shd w:val="clear" w:color="auto" w:fill="E7F0F9"/>
            <w:tcMar>
              <w:top w:w="0" w:type="dxa"/>
              <w:bottom w:w="0" w:type="dxa"/>
            </w:tcMar>
            <w:vAlign w:val="center"/>
          </w:tcPr>
          <w:p w14:paraId="44AA5259" w14:textId="77777777" w:rsidR="00BB69DB" w:rsidRDefault="00BB69DB">
            <w:pPr>
              <w:keepNext/>
              <w:keepLines/>
              <w:jc w:val="center"/>
            </w:pPr>
            <w:r>
              <w:rPr>
                <w:b/>
                <w:sz w:val="18"/>
              </w:rPr>
              <w:t>Indeks (%)</w:t>
            </w:r>
          </w:p>
        </w:tc>
      </w:tr>
      <w:tr w:rsidR="00BB69DB" w14:paraId="418FF354" w14:textId="77777777">
        <w:trPr>
          <w:cantSplit/>
          <w:trHeight w:val="560"/>
        </w:trPr>
        <w:tc>
          <w:tcPr>
            <w:tcW w:w="700" w:type="dxa"/>
            <w:tcMar>
              <w:top w:w="0" w:type="dxa"/>
              <w:bottom w:w="0" w:type="dxa"/>
            </w:tcMar>
            <w:vAlign w:val="center"/>
          </w:tcPr>
          <w:p w14:paraId="2EB02800" w14:textId="77777777" w:rsidR="00BB69DB" w:rsidRDefault="00BB69DB">
            <w:pPr>
              <w:keepNext/>
              <w:keepLines/>
            </w:pPr>
            <w:r>
              <w:rPr>
                <w:sz w:val="18"/>
              </w:rPr>
              <w:t>38</w:t>
            </w:r>
          </w:p>
        </w:tc>
        <w:tc>
          <w:tcPr>
            <w:tcW w:w="3180" w:type="dxa"/>
            <w:tcMar>
              <w:top w:w="0" w:type="dxa"/>
              <w:bottom w:w="0" w:type="dxa"/>
            </w:tcMar>
            <w:vAlign w:val="center"/>
          </w:tcPr>
          <w:p w14:paraId="36FB54CD" w14:textId="77777777" w:rsidR="00BB69DB" w:rsidRDefault="00BB69DB">
            <w:pPr>
              <w:keepNext/>
              <w:keepLines/>
            </w:pPr>
            <w:r>
              <w:rPr>
                <w:sz w:val="18"/>
              </w:rPr>
              <w:t>Rashodi za donacije, kazne, naknade šteta i kapitalne pomoći (šifre 381+382+383+386)</w:t>
            </w:r>
          </w:p>
        </w:tc>
        <w:tc>
          <w:tcPr>
            <w:tcW w:w="700" w:type="dxa"/>
            <w:tcMar>
              <w:top w:w="0" w:type="dxa"/>
              <w:bottom w:w="0" w:type="dxa"/>
            </w:tcMar>
            <w:vAlign w:val="center"/>
          </w:tcPr>
          <w:p w14:paraId="62F11D47" w14:textId="77777777" w:rsidR="00BB69DB" w:rsidRDefault="00BB69DB">
            <w:pPr>
              <w:keepNext/>
              <w:keepLines/>
            </w:pPr>
            <w:r>
              <w:rPr>
                <w:sz w:val="18"/>
              </w:rPr>
              <w:t>38</w:t>
            </w:r>
          </w:p>
        </w:tc>
        <w:tc>
          <w:tcPr>
            <w:tcW w:w="1860" w:type="dxa"/>
            <w:tcMar>
              <w:top w:w="0" w:type="dxa"/>
              <w:bottom w:w="0" w:type="dxa"/>
            </w:tcMar>
            <w:vAlign w:val="center"/>
          </w:tcPr>
          <w:p w14:paraId="56FD20B5" w14:textId="77777777" w:rsidR="00BB69DB" w:rsidRDefault="00BB69DB">
            <w:pPr>
              <w:keepNext/>
              <w:keepLines/>
              <w:jc w:val="right"/>
            </w:pPr>
            <w:r>
              <w:rPr>
                <w:sz w:val="18"/>
              </w:rPr>
              <w:t>93.942.827,62</w:t>
            </w:r>
          </w:p>
        </w:tc>
        <w:tc>
          <w:tcPr>
            <w:tcW w:w="1860" w:type="dxa"/>
            <w:tcMar>
              <w:top w:w="0" w:type="dxa"/>
              <w:bottom w:w="0" w:type="dxa"/>
            </w:tcMar>
            <w:vAlign w:val="center"/>
          </w:tcPr>
          <w:p w14:paraId="47DC9985" w14:textId="77777777" w:rsidR="00BB69DB" w:rsidRDefault="00BB69DB">
            <w:pPr>
              <w:keepNext/>
              <w:keepLines/>
              <w:jc w:val="right"/>
            </w:pPr>
            <w:r>
              <w:rPr>
                <w:sz w:val="18"/>
              </w:rPr>
              <w:t>100.605.305,65</w:t>
            </w:r>
          </w:p>
        </w:tc>
        <w:tc>
          <w:tcPr>
            <w:tcW w:w="700" w:type="dxa"/>
            <w:tcMar>
              <w:top w:w="0" w:type="dxa"/>
              <w:bottom w:w="0" w:type="dxa"/>
            </w:tcMar>
            <w:vAlign w:val="center"/>
          </w:tcPr>
          <w:p w14:paraId="74FA4E04" w14:textId="77777777" w:rsidR="00BB69DB" w:rsidRDefault="00BB69DB">
            <w:pPr>
              <w:keepNext/>
              <w:keepLines/>
              <w:jc w:val="right"/>
            </w:pPr>
            <w:r>
              <w:rPr>
                <w:sz w:val="18"/>
              </w:rPr>
              <w:t>107,1</w:t>
            </w:r>
          </w:p>
        </w:tc>
      </w:tr>
    </w:tbl>
    <w:p w14:paraId="4A76AB5E" w14:textId="77777777" w:rsidR="00BB69DB" w:rsidRDefault="00BB69DB"/>
    <w:p w14:paraId="4599046C" w14:textId="77777777" w:rsidR="00BB69DB" w:rsidRDefault="00BB69DB" w:rsidP="00BB69DB">
      <w:pPr>
        <w:jc w:val="both"/>
      </w:pPr>
      <w:r>
        <w:t xml:space="preserve">Najznačajniji rashodi za donacije, kazne, naknade šteta i kapitalne pomoći u 2025. godine ostvareni su za A587082 Izuzeto javno dobro (32 </w:t>
      </w:r>
      <w:proofErr w:type="spellStart"/>
      <w:r>
        <w:t>mil</w:t>
      </w:r>
      <w:proofErr w:type="spellEnd"/>
      <w:r>
        <w:t xml:space="preserve"> EUR) i za projekte željezničkog sektora iz NPOO (29,3 </w:t>
      </w:r>
      <w:proofErr w:type="spellStart"/>
      <w:r>
        <w:t>mil</w:t>
      </w:r>
      <w:proofErr w:type="spellEnd"/>
      <w:r>
        <w:t xml:space="preserve"> EUR).</w:t>
      </w:r>
    </w:p>
    <w:p w14:paraId="1A4B83D2" w14:textId="77777777" w:rsidR="00BB69DB" w:rsidRDefault="00BB69DB" w:rsidP="00BB69DB">
      <w:pPr>
        <w:jc w:val="both"/>
      </w:pPr>
      <w:r>
        <w:t xml:space="preserve">Rashodi za donacije, kazne, naknade šteta i kapitalne pomoći u 2025. godine veći su za 6,7 </w:t>
      </w:r>
      <w:proofErr w:type="spellStart"/>
      <w:r>
        <w:t>mil</w:t>
      </w:r>
      <w:proofErr w:type="spellEnd"/>
      <w:r>
        <w:t xml:space="preserve"> EUR u odnosu na 2024. godinu. Člankom 233. Pravilnika o proračunskom računovodstvu i računskom planu (NN 158/2023) određeno je da se ukida podskupina konta 193 Kontinuirani rashodi budućih razdoblja te su rashodi na A587082 Izuzeto javno dobro za obveze koje dospijevaju u 2026. i 2027. godini (21,4 </w:t>
      </w:r>
      <w:proofErr w:type="spellStart"/>
      <w:r>
        <w:t>mil</w:t>
      </w:r>
      <w:proofErr w:type="spellEnd"/>
      <w:r>
        <w:t xml:space="preserve"> EUR), a prema Odluci o prihvaćanju nagodbe između Republike Hrvatske i društva HŽ </w:t>
      </w:r>
      <w:proofErr w:type="spellStart"/>
      <w:r>
        <w:t>Cargo</w:t>
      </w:r>
      <w:proofErr w:type="spellEnd"/>
      <w:r>
        <w:t xml:space="preserve"> d.o.o. evidentirane kao rashodi u 2025. godini.</w:t>
      </w:r>
    </w:p>
    <w:p w14:paraId="5E0CC7EF" w14:textId="77777777" w:rsidR="00BB69DB" w:rsidRDefault="00BB69DB" w:rsidP="00BB69DB">
      <w:pPr>
        <w:jc w:val="both"/>
      </w:pPr>
      <w:r>
        <w:t xml:space="preserve">Iz programa NPOO za nabavu niskopodnih tramvaja u Osijeku i Zagrebu u 2025. ostvareni su rashodi od 28 </w:t>
      </w:r>
      <w:proofErr w:type="spellStart"/>
      <w:r>
        <w:t>mil</w:t>
      </w:r>
      <w:proofErr w:type="spellEnd"/>
      <w:r>
        <w:t xml:space="preserve"> EUR, a rashodi za projekte željezničkog sektora iz NPOO u 2024. godini ostvareni su u iznosu od 4,5 </w:t>
      </w:r>
      <w:proofErr w:type="spellStart"/>
      <w:r>
        <w:t>mil</w:t>
      </w:r>
      <w:proofErr w:type="spellEnd"/>
      <w:r>
        <w:t xml:space="preserve"> EUR (razvoj sustava napajanja vodikom).</w:t>
      </w:r>
    </w:p>
    <w:p w14:paraId="2B5F01F4" w14:textId="77777777" w:rsidR="00BB69DB" w:rsidRDefault="00BB69DB" w:rsidP="00BB69DB">
      <w:pPr>
        <w:jc w:val="both"/>
      </w:pPr>
      <w:r>
        <w:t xml:space="preserve">U 2025. godini nisu ostvareni rashodi za razvoj infrastrukture širokopojasne mreže slijedeće generacije iz programa OP KK, a u 2024. su ostvareni rashodi u iznosu od 21,5 </w:t>
      </w:r>
      <w:proofErr w:type="spellStart"/>
      <w:r>
        <w:t>mil</w:t>
      </w:r>
      <w:proofErr w:type="spellEnd"/>
      <w:r>
        <w:t xml:space="preserve"> EUR.</w:t>
      </w:r>
    </w:p>
    <w:p w14:paraId="76DAB738" w14:textId="77777777" w:rsidR="00BB69DB" w:rsidRDefault="00BB69DB" w:rsidP="00BB69DB">
      <w:pPr>
        <w:jc w:val="both"/>
      </w:pPr>
      <w:r>
        <w:t xml:space="preserve">Protestirana su tri jamstva dodijeljena u sklopu Programa dodjele državnih potpora sektoru mora, prometa i prometne infrastrukture u povezanim djelatnostima u </w:t>
      </w:r>
      <w:proofErr w:type="spellStart"/>
      <w:r>
        <w:t>pandemiji</w:t>
      </w:r>
      <w:proofErr w:type="spellEnd"/>
      <w:r>
        <w:t xml:space="preserve"> COVID-19.</w:t>
      </w:r>
    </w:p>
    <w:p w14:paraId="3FB3C76B" w14:textId="77777777" w:rsidR="00BB69DB" w:rsidRDefault="00BB69DB"/>
    <w:p w14:paraId="6EF6393F" w14:textId="77777777" w:rsidR="00BB69DB" w:rsidRDefault="00BB69DB">
      <w:pPr>
        <w:keepNext/>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69DB" w14:paraId="1B4BF4DD" w14:textId="77777777">
        <w:trPr>
          <w:cantSplit/>
        </w:trPr>
        <w:tc>
          <w:tcPr>
            <w:tcW w:w="700" w:type="dxa"/>
            <w:shd w:val="clear" w:color="auto" w:fill="E7F0F9"/>
            <w:tcMar>
              <w:top w:w="0" w:type="dxa"/>
              <w:bottom w:w="0" w:type="dxa"/>
            </w:tcMar>
            <w:vAlign w:val="center"/>
          </w:tcPr>
          <w:p w14:paraId="76FF1CDF" w14:textId="77777777" w:rsidR="00BB69DB" w:rsidRDefault="00BB69DB">
            <w:pPr>
              <w:keepNext/>
              <w:keepLines/>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0381EF" w14:textId="77777777" w:rsidR="00BB69DB" w:rsidRDefault="00BB69DB">
            <w:pPr>
              <w:keepNext/>
              <w:keepLines/>
              <w:jc w:val="center"/>
            </w:pPr>
            <w:r>
              <w:rPr>
                <w:b/>
                <w:sz w:val="18"/>
              </w:rPr>
              <w:t>Opis stavke</w:t>
            </w:r>
          </w:p>
        </w:tc>
        <w:tc>
          <w:tcPr>
            <w:tcW w:w="700" w:type="dxa"/>
            <w:shd w:val="clear" w:color="auto" w:fill="E7F0F9"/>
            <w:tcMar>
              <w:top w:w="0" w:type="dxa"/>
              <w:bottom w:w="0" w:type="dxa"/>
            </w:tcMar>
            <w:vAlign w:val="center"/>
          </w:tcPr>
          <w:p w14:paraId="059C8F76" w14:textId="77777777" w:rsidR="00BB69DB" w:rsidRDefault="00BB69DB">
            <w:pPr>
              <w:keepNext/>
              <w:keepLines/>
              <w:jc w:val="center"/>
            </w:pPr>
            <w:r>
              <w:rPr>
                <w:b/>
                <w:sz w:val="18"/>
              </w:rPr>
              <w:t>Šifra</w:t>
            </w:r>
          </w:p>
        </w:tc>
        <w:tc>
          <w:tcPr>
            <w:tcW w:w="1860" w:type="dxa"/>
            <w:shd w:val="clear" w:color="auto" w:fill="E7F0F9"/>
            <w:tcMar>
              <w:top w:w="0" w:type="dxa"/>
              <w:bottom w:w="0" w:type="dxa"/>
            </w:tcMar>
            <w:vAlign w:val="center"/>
          </w:tcPr>
          <w:p w14:paraId="623848FA" w14:textId="77777777" w:rsidR="00BB69DB" w:rsidRDefault="00BB69DB">
            <w:pPr>
              <w:keepNext/>
              <w:keepLines/>
              <w:jc w:val="center"/>
            </w:pPr>
            <w:r>
              <w:rPr>
                <w:b/>
                <w:sz w:val="18"/>
              </w:rPr>
              <w:t>Ostvareno u izvještajnom razdoblju prethodne godine</w:t>
            </w:r>
          </w:p>
        </w:tc>
        <w:tc>
          <w:tcPr>
            <w:tcW w:w="1860" w:type="dxa"/>
            <w:shd w:val="clear" w:color="auto" w:fill="E7F0F9"/>
            <w:tcMar>
              <w:top w:w="0" w:type="dxa"/>
              <w:bottom w:w="0" w:type="dxa"/>
            </w:tcMar>
            <w:vAlign w:val="center"/>
          </w:tcPr>
          <w:p w14:paraId="245497FB" w14:textId="77777777" w:rsidR="00BB69DB" w:rsidRDefault="00BB69DB">
            <w:pPr>
              <w:keepNext/>
              <w:keepLines/>
              <w:jc w:val="center"/>
            </w:pPr>
            <w:r>
              <w:rPr>
                <w:b/>
                <w:sz w:val="18"/>
              </w:rPr>
              <w:t>Ostvareno u izvještajnom razdoblju tekuće godine</w:t>
            </w:r>
          </w:p>
        </w:tc>
        <w:tc>
          <w:tcPr>
            <w:tcW w:w="700" w:type="dxa"/>
            <w:shd w:val="clear" w:color="auto" w:fill="E7F0F9"/>
            <w:tcMar>
              <w:top w:w="0" w:type="dxa"/>
              <w:bottom w:w="0" w:type="dxa"/>
            </w:tcMar>
            <w:vAlign w:val="center"/>
          </w:tcPr>
          <w:p w14:paraId="5C574702" w14:textId="77777777" w:rsidR="00BB69DB" w:rsidRDefault="00BB69DB">
            <w:pPr>
              <w:keepNext/>
              <w:keepLines/>
              <w:jc w:val="center"/>
            </w:pPr>
            <w:r>
              <w:rPr>
                <w:b/>
                <w:sz w:val="18"/>
              </w:rPr>
              <w:t>Indeks (%)</w:t>
            </w:r>
          </w:p>
        </w:tc>
      </w:tr>
      <w:tr w:rsidR="00BB69DB" w14:paraId="6EE875EA" w14:textId="77777777">
        <w:trPr>
          <w:cantSplit/>
          <w:trHeight w:val="560"/>
        </w:trPr>
        <w:tc>
          <w:tcPr>
            <w:tcW w:w="700" w:type="dxa"/>
            <w:tcMar>
              <w:top w:w="0" w:type="dxa"/>
              <w:bottom w:w="0" w:type="dxa"/>
            </w:tcMar>
            <w:vAlign w:val="center"/>
          </w:tcPr>
          <w:p w14:paraId="4BFD93A8" w14:textId="77777777" w:rsidR="00BB69DB" w:rsidRDefault="00BB69DB">
            <w:pPr>
              <w:keepNext/>
              <w:keepLines/>
            </w:pPr>
            <w:r>
              <w:rPr>
                <w:sz w:val="18"/>
              </w:rPr>
              <w:t>41</w:t>
            </w:r>
          </w:p>
        </w:tc>
        <w:tc>
          <w:tcPr>
            <w:tcW w:w="3180" w:type="dxa"/>
            <w:tcMar>
              <w:top w:w="0" w:type="dxa"/>
              <w:bottom w:w="0" w:type="dxa"/>
            </w:tcMar>
            <w:vAlign w:val="center"/>
          </w:tcPr>
          <w:p w14:paraId="5A1677E9" w14:textId="77777777" w:rsidR="00BB69DB" w:rsidRDefault="00BB69DB">
            <w:pPr>
              <w:keepNext/>
              <w:keepLines/>
            </w:pPr>
            <w:r>
              <w:rPr>
                <w:sz w:val="18"/>
              </w:rPr>
              <w:t xml:space="preserve">Rashodi za nabavu </w:t>
            </w:r>
            <w:proofErr w:type="spellStart"/>
            <w:r>
              <w:rPr>
                <w:sz w:val="18"/>
              </w:rPr>
              <w:t>neproizvedene</w:t>
            </w:r>
            <w:proofErr w:type="spellEnd"/>
            <w:r>
              <w:rPr>
                <w:sz w:val="18"/>
              </w:rPr>
              <w:t xml:space="preserve"> dugotrajne imovine (šifre 411+412)</w:t>
            </w:r>
          </w:p>
        </w:tc>
        <w:tc>
          <w:tcPr>
            <w:tcW w:w="700" w:type="dxa"/>
            <w:tcMar>
              <w:top w:w="0" w:type="dxa"/>
              <w:bottom w:w="0" w:type="dxa"/>
            </w:tcMar>
            <w:vAlign w:val="center"/>
          </w:tcPr>
          <w:p w14:paraId="2B03045B" w14:textId="77777777" w:rsidR="00BB69DB" w:rsidRDefault="00BB69DB">
            <w:pPr>
              <w:keepNext/>
              <w:keepLines/>
            </w:pPr>
            <w:r>
              <w:rPr>
                <w:sz w:val="18"/>
              </w:rPr>
              <w:t>41</w:t>
            </w:r>
          </w:p>
        </w:tc>
        <w:tc>
          <w:tcPr>
            <w:tcW w:w="1860" w:type="dxa"/>
            <w:tcMar>
              <w:top w:w="0" w:type="dxa"/>
              <w:bottom w:w="0" w:type="dxa"/>
            </w:tcMar>
            <w:vAlign w:val="center"/>
          </w:tcPr>
          <w:p w14:paraId="2DCAE150" w14:textId="77777777" w:rsidR="00BB69DB" w:rsidRDefault="00BB69DB">
            <w:pPr>
              <w:keepNext/>
              <w:keepLines/>
              <w:jc w:val="right"/>
            </w:pPr>
            <w:r>
              <w:rPr>
                <w:sz w:val="18"/>
              </w:rPr>
              <w:t>653.395,05</w:t>
            </w:r>
          </w:p>
        </w:tc>
        <w:tc>
          <w:tcPr>
            <w:tcW w:w="1860" w:type="dxa"/>
            <w:tcMar>
              <w:top w:w="0" w:type="dxa"/>
              <w:bottom w:w="0" w:type="dxa"/>
            </w:tcMar>
            <w:vAlign w:val="center"/>
          </w:tcPr>
          <w:p w14:paraId="5B329420" w14:textId="77777777" w:rsidR="00BB69DB" w:rsidRDefault="00BB69DB">
            <w:pPr>
              <w:keepNext/>
              <w:keepLines/>
              <w:jc w:val="right"/>
            </w:pPr>
            <w:r>
              <w:rPr>
                <w:sz w:val="18"/>
              </w:rPr>
              <w:t>664.558,62</w:t>
            </w:r>
          </w:p>
        </w:tc>
        <w:tc>
          <w:tcPr>
            <w:tcW w:w="700" w:type="dxa"/>
            <w:tcMar>
              <w:top w:w="0" w:type="dxa"/>
              <w:bottom w:w="0" w:type="dxa"/>
            </w:tcMar>
            <w:vAlign w:val="center"/>
          </w:tcPr>
          <w:p w14:paraId="3E697634" w14:textId="77777777" w:rsidR="00BB69DB" w:rsidRDefault="00BB69DB">
            <w:pPr>
              <w:keepNext/>
              <w:keepLines/>
              <w:jc w:val="right"/>
            </w:pPr>
            <w:r>
              <w:rPr>
                <w:sz w:val="18"/>
              </w:rPr>
              <w:t>101,7</w:t>
            </w:r>
          </w:p>
        </w:tc>
      </w:tr>
    </w:tbl>
    <w:p w14:paraId="670087B8" w14:textId="77777777" w:rsidR="00BB69DB" w:rsidRDefault="00BB69DB"/>
    <w:p w14:paraId="1A638579" w14:textId="77777777" w:rsidR="00BB69DB" w:rsidRDefault="00BB69DB" w:rsidP="00BB69DB">
      <w:pPr>
        <w:jc w:val="both"/>
      </w:pPr>
      <w:r>
        <w:t xml:space="preserve">Nabavljene su Microsoft licence, licence za dogradnju </w:t>
      </w:r>
      <w:proofErr w:type="spellStart"/>
      <w:r>
        <w:t>vatrozid</w:t>
      </w:r>
      <w:proofErr w:type="spellEnd"/>
      <w:r>
        <w:t xml:space="preserve"> sustava i licence za izradu ENC karata.</w:t>
      </w:r>
    </w:p>
    <w:p w14:paraId="77042E72" w14:textId="77777777" w:rsidR="00BB69DB" w:rsidRDefault="00BB69DB" w:rsidP="00BB69DB">
      <w:pPr>
        <w:jc w:val="both"/>
      </w:pPr>
      <w:r>
        <w:t>U 2025. godini ispostavljene su privremene situacije za studijsko-projektnu dokumentaciju za uređenje plovnog puta i pristaništa za brodove na Kupi te je izrađen Srednjoročni plan razvitka vodnih putova, luka i pristaništa.</w:t>
      </w:r>
    </w:p>
    <w:p w14:paraId="7676D428" w14:textId="77777777" w:rsidR="00BB69DB" w:rsidRDefault="00BB69DB"/>
    <w:p w14:paraId="47B5EF67" w14:textId="77777777" w:rsidR="00BB69DB" w:rsidRDefault="00BB69DB">
      <w:pPr>
        <w:keepNext/>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69DB" w14:paraId="35FEE4D3" w14:textId="77777777">
        <w:trPr>
          <w:cantSplit/>
        </w:trPr>
        <w:tc>
          <w:tcPr>
            <w:tcW w:w="700" w:type="dxa"/>
            <w:shd w:val="clear" w:color="auto" w:fill="E7F0F9"/>
            <w:tcMar>
              <w:top w:w="0" w:type="dxa"/>
              <w:bottom w:w="0" w:type="dxa"/>
            </w:tcMar>
            <w:vAlign w:val="center"/>
          </w:tcPr>
          <w:p w14:paraId="29AE1969" w14:textId="77777777" w:rsidR="00BB69DB" w:rsidRDefault="00BB69DB">
            <w:pPr>
              <w:keepNext/>
              <w:keepLines/>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11A691" w14:textId="77777777" w:rsidR="00BB69DB" w:rsidRDefault="00BB69DB">
            <w:pPr>
              <w:keepNext/>
              <w:keepLines/>
              <w:jc w:val="center"/>
            </w:pPr>
            <w:r>
              <w:rPr>
                <w:b/>
                <w:sz w:val="18"/>
              </w:rPr>
              <w:t>Opis stavke</w:t>
            </w:r>
          </w:p>
        </w:tc>
        <w:tc>
          <w:tcPr>
            <w:tcW w:w="700" w:type="dxa"/>
            <w:shd w:val="clear" w:color="auto" w:fill="E7F0F9"/>
            <w:tcMar>
              <w:top w:w="0" w:type="dxa"/>
              <w:bottom w:w="0" w:type="dxa"/>
            </w:tcMar>
            <w:vAlign w:val="center"/>
          </w:tcPr>
          <w:p w14:paraId="1B2FBEDA" w14:textId="77777777" w:rsidR="00BB69DB" w:rsidRDefault="00BB69DB">
            <w:pPr>
              <w:keepNext/>
              <w:keepLines/>
              <w:jc w:val="center"/>
            </w:pPr>
            <w:r>
              <w:rPr>
                <w:b/>
                <w:sz w:val="18"/>
              </w:rPr>
              <w:t>Šifra</w:t>
            </w:r>
          </w:p>
        </w:tc>
        <w:tc>
          <w:tcPr>
            <w:tcW w:w="1860" w:type="dxa"/>
            <w:shd w:val="clear" w:color="auto" w:fill="E7F0F9"/>
            <w:tcMar>
              <w:top w:w="0" w:type="dxa"/>
              <w:bottom w:w="0" w:type="dxa"/>
            </w:tcMar>
            <w:vAlign w:val="center"/>
          </w:tcPr>
          <w:p w14:paraId="11B97130" w14:textId="77777777" w:rsidR="00BB69DB" w:rsidRDefault="00BB69DB">
            <w:pPr>
              <w:keepNext/>
              <w:keepLines/>
              <w:jc w:val="center"/>
            </w:pPr>
            <w:r>
              <w:rPr>
                <w:b/>
                <w:sz w:val="18"/>
              </w:rPr>
              <w:t>Ostvareno u izvještajnom razdoblju prethodne godine</w:t>
            </w:r>
          </w:p>
        </w:tc>
        <w:tc>
          <w:tcPr>
            <w:tcW w:w="1860" w:type="dxa"/>
            <w:shd w:val="clear" w:color="auto" w:fill="E7F0F9"/>
            <w:tcMar>
              <w:top w:w="0" w:type="dxa"/>
              <w:bottom w:w="0" w:type="dxa"/>
            </w:tcMar>
            <w:vAlign w:val="center"/>
          </w:tcPr>
          <w:p w14:paraId="1237F690" w14:textId="77777777" w:rsidR="00BB69DB" w:rsidRDefault="00BB69DB">
            <w:pPr>
              <w:keepNext/>
              <w:keepLines/>
              <w:jc w:val="center"/>
            </w:pPr>
            <w:r>
              <w:rPr>
                <w:b/>
                <w:sz w:val="18"/>
              </w:rPr>
              <w:t>Ostvareno u izvještajnom razdoblju tekuće godine</w:t>
            </w:r>
          </w:p>
        </w:tc>
        <w:tc>
          <w:tcPr>
            <w:tcW w:w="700" w:type="dxa"/>
            <w:shd w:val="clear" w:color="auto" w:fill="E7F0F9"/>
            <w:tcMar>
              <w:top w:w="0" w:type="dxa"/>
              <w:bottom w:w="0" w:type="dxa"/>
            </w:tcMar>
            <w:vAlign w:val="center"/>
          </w:tcPr>
          <w:p w14:paraId="07FAA7AA" w14:textId="77777777" w:rsidR="00BB69DB" w:rsidRDefault="00BB69DB">
            <w:pPr>
              <w:keepNext/>
              <w:keepLines/>
              <w:jc w:val="center"/>
            </w:pPr>
            <w:r>
              <w:rPr>
                <w:b/>
                <w:sz w:val="18"/>
              </w:rPr>
              <w:t>Indeks (%)</w:t>
            </w:r>
          </w:p>
        </w:tc>
      </w:tr>
      <w:tr w:rsidR="00BB69DB" w14:paraId="68DBE968" w14:textId="77777777">
        <w:trPr>
          <w:cantSplit/>
          <w:trHeight w:val="560"/>
        </w:trPr>
        <w:tc>
          <w:tcPr>
            <w:tcW w:w="700" w:type="dxa"/>
            <w:tcMar>
              <w:top w:w="0" w:type="dxa"/>
              <w:bottom w:w="0" w:type="dxa"/>
            </w:tcMar>
            <w:vAlign w:val="center"/>
          </w:tcPr>
          <w:p w14:paraId="0E9D31BF" w14:textId="77777777" w:rsidR="00BB69DB" w:rsidRDefault="00BB69DB">
            <w:pPr>
              <w:keepNext/>
              <w:keepLines/>
            </w:pPr>
            <w:r>
              <w:rPr>
                <w:sz w:val="18"/>
              </w:rPr>
              <w:t>42</w:t>
            </w:r>
          </w:p>
        </w:tc>
        <w:tc>
          <w:tcPr>
            <w:tcW w:w="3180" w:type="dxa"/>
            <w:tcMar>
              <w:top w:w="0" w:type="dxa"/>
              <w:bottom w:w="0" w:type="dxa"/>
            </w:tcMar>
            <w:vAlign w:val="center"/>
          </w:tcPr>
          <w:p w14:paraId="3F8A1D9D" w14:textId="77777777" w:rsidR="00BB69DB" w:rsidRDefault="00BB69DB">
            <w:pPr>
              <w:keepNext/>
              <w:keepLines/>
            </w:pPr>
            <w:r>
              <w:rPr>
                <w:sz w:val="18"/>
              </w:rPr>
              <w:t>Rashodi za nabavu proizvedene dugotrajne imovine (šifre 421+422+423+424+425+426)</w:t>
            </w:r>
          </w:p>
        </w:tc>
        <w:tc>
          <w:tcPr>
            <w:tcW w:w="700" w:type="dxa"/>
            <w:tcMar>
              <w:top w:w="0" w:type="dxa"/>
              <w:bottom w:w="0" w:type="dxa"/>
            </w:tcMar>
            <w:vAlign w:val="center"/>
          </w:tcPr>
          <w:p w14:paraId="309EF6D7" w14:textId="77777777" w:rsidR="00BB69DB" w:rsidRDefault="00BB69DB">
            <w:pPr>
              <w:keepNext/>
              <w:keepLines/>
            </w:pPr>
            <w:r>
              <w:rPr>
                <w:sz w:val="18"/>
              </w:rPr>
              <w:t>42</w:t>
            </w:r>
          </w:p>
        </w:tc>
        <w:tc>
          <w:tcPr>
            <w:tcW w:w="1860" w:type="dxa"/>
            <w:tcMar>
              <w:top w:w="0" w:type="dxa"/>
              <w:bottom w:w="0" w:type="dxa"/>
            </w:tcMar>
            <w:vAlign w:val="center"/>
          </w:tcPr>
          <w:p w14:paraId="5D7051AC" w14:textId="77777777" w:rsidR="00BB69DB" w:rsidRDefault="00BB69DB">
            <w:pPr>
              <w:keepNext/>
              <w:keepLines/>
              <w:jc w:val="right"/>
            </w:pPr>
            <w:r>
              <w:rPr>
                <w:sz w:val="18"/>
              </w:rPr>
              <w:t>9.121.225,84</w:t>
            </w:r>
          </w:p>
        </w:tc>
        <w:tc>
          <w:tcPr>
            <w:tcW w:w="1860" w:type="dxa"/>
            <w:tcMar>
              <w:top w:w="0" w:type="dxa"/>
              <w:bottom w:w="0" w:type="dxa"/>
            </w:tcMar>
            <w:vAlign w:val="center"/>
          </w:tcPr>
          <w:p w14:paraId="38FA1CD6" w14:textId="77777777" w:rsidR="00BB69DB" w:rsidRDefault="00BB69DB">
            <w:pPr>
              <w:keepNext/>
              <w:keepLines/>
              <w:jc w:val="right"/>
            </w:pPr>
            <w:r>
              <w:rPr>
                <w:sz w:val="18"/>
              </w:rPr>
              <w:t>17.085.653,02</w:t>
            </w:r>
          </w:p>
        </w:tc>
        <w:tc>
          <w:tcPr>
            <w:tcW w:w="700" w:type="dxa"/>
            <w:tcMar>
              <w:top w:w="0" w:type="dxa"/>
              <w:bottom w:w="0" w:type="dxa"/>
            </w:tcMar>
            <w:vAlign w:val="center"/>
          </w:tcPr>
          <w:p w14:paraId="6E31000D" w14:textId="77777777" w:rsidR="00BB69DB" w:rsidRDefault="00BB69DB">
            <w:pPr>
              <w:keepNext/>
              <w:keepLines/>
              <w:jc w:val="right"/>
            </w:pPr>
            <w:r>
              <w:rPr>
                <w:sz w:val="18"/>
              </w:rPr>
              <w:t>187,3</w:t>
            </w:r>
          </w:p>
        </w:tc>
      </w:tr>
    </w:tbl>
    <w:p w14:paraId="57963031" w14:textId="77777777" w:rsidR="00BB69DB" w:rsidRDefault="00BB69DB"/>
    <w:p w14:paraId="37C3B9D8" w14:textId="77777777" w:rsidR="00BB69DB" w:rsidRDefault="00BB69DB" w:rsidP="00BB69DB">
      <w:pPr>
        <w:jc w:val="both"/>
      </w:pPr>
      <w:r>
        <w:t>U 2025. godini ostvareni rashodi za nabavu proizvedene dugotrajne imovine u iznosu od 17.085.653,02 EUR. Najznačajniji rashodi odnose se na ulaganja u računalne programe (nadogradnju aplikacija koje se koriste u pomorstvu), nabavu radarskih uređaja, isporuku 12 brodica u okviru obnove SAR flote lučkih kapetanija, nabavu 10 službenih vozila i 2 kombi vozila za inspekciju cestovnog prometa sukladno Nacionalnom planu sigurnosti cestovnog prometa RH za što je MUP prenio sredstva Ministarstvu i nabavu komunikacijske opreme za obilježavanje plovnih putova u okviru projekta CEF FAIRWAY Danube2 u iznosu od 664.183,89 EUR.</w:t>
      </w:r>
    </w:p>
    <w:p w14:paraId="6ABD587A" w14:textId="77777777" w:rsidR="00BB69DB" w:rsidRDefault="00BB69DB"/>
    <w:p w14:paraId="7CF82552" w14:textId="77777777" w:rsidR="00BB69DB" w:rsidRDefault="00BB69DB">
      <w:pPr>
        <w:keepNext/>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69DB" w14:paraId="4BD83A63" w14:textId="77777777">
        <w:trPr>
          <w:cantSplit/>
        </w:trPr>
        <w:tc>
          <w:tcPr>
            <w:tcW w:w="700" w:type="dxa"/>
            <w:shd w:val="clear" w:color="auto" w:fill="E7F0F9"/>
            <w:tcMar>
              <w:top w:w="0" w:type="dxa"/>
              <w:bottom w:w="0" w:type="dxa"/>
            </w:tcMar>
            <w:vAlign w:val="center"/>
          </w:tcPr>
          <w:p w14:paraId="56BCB54C" w14:textId="77777777" w:rsidR="00BB69DB" w:rsidRDefault="00BB69DB">
            <w:pPr>
              <w:keepNext/>
              <w:keepLines/>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083FDDA" w14:textId="77777777" w:rsidR="00BB69DB" w:rsidRDefault="00BB69DB">
            <w:pPr>
              <w:keepNext/>
              <w:keepLines/>
              <w:jc w:val="center"/>
            </w:pPr>
            <w:r>
              <w:rPr>
                <w:b/>
                <w:sz w:val="18"/>
              </w:rPr>
              <w:t>Opis stavke</w:t>
            </w:r>
          </w:p>
        </w:tc>
        <w:tc>
          <w:tcPr>
            <w:tcW w:w="700" w:type="dxa"/>
            <w:shd w:val="clear" w:color="auto" w:fill="E7F0F9"/>
            <w:tcMar>
              <w:top w:w="0" w:type="dxa"/>
              <w:bottom w:w="0" w:type="dxa"/>
            </w:tcMar>
            <w:vAlign w:val="center"/>
          </w:tcPr>
          <w:p w14:paraId="02AE547D" w14:textId="77777777" w:rsidR="00BB69DB" w:rsidRDefault="00BB69DB">
            <w:pPr>
              <w:keepNext/>
              <w:keepLines/>
              <w:jc w:val="center"/>
            </w:pPr>
            <w:r>
              <w:rPr>
                <w:b/>
                <w:sz w:val="18"/>
              </w:rPr>
              <w:t>Šifra</w:t>
            </w:r>
          </w:p>
        </w:tc>
        <w:tc>
          <w:tcPr>
            <w:tcW w:w="1860" w:type="dxa"/>
            <w:shd w:val="clear" w:color="auto" w:fill="E7F0F9"/>
            <w:tcMar>
              <w:top w:w="0" w:type="dxa"/>
              <w:bottom w:w="0" w:type="dxa"/>
            </w:tcMar>
            <w:vAlign w:val="center"/>
          </w:tcPr>
          <w:p w14:paraId="74EBED0A" w14:textId="77777777" w:rsidR="00BB69DB" w:rsidRDefault="00BB69DB">
            <w:pPr>
              <w:keepNext/>
              <w:keepLines/>
              <w:jc w:val="center"/>
            </w:pPr>
            <w:r>
              <w:rPr>
                <w:b/>
                <w:sz w:val="18"/>
              </w:rPr>
              <w:t>Ostvareno u izvještajnom razdoblju prethodne godine</w:t>
            </w:r>
          </w:p>
        </w:tc>
        <w:tc>
          <w:tcPr>
            <w:tcW w:w="1860" w:type="dxa"/>
            <w:shd w:val="clear" w:color="auto" w:fill="E7F0F9"/>
            <w:tcMar>
              <w:top w:w="0" w:type="dxa"/>
              <w:bottom w:w="0" w:type="dxa"/>
            </w:tcMar>
            <w:vAlign w:val="center"/>
          </w:tcPr>
          <w:p w14:paraId="19F18A3B" w14:textId="77777777" w:rsidR="00BB69DB" w:rsidRDefault="00BB69DB">
            <w:pPr>
              <w:keepNext/>
              <w:keepLines/>
              <w:jc w:val="center"/>
            </w:pPr>
            <w:r>
              <w:rPr>
                <w:b/>
                <w:sz w:val="18"/>
              </w:rPr>
              <w:t>Ostvareno u izvještajnom razdoblju tekuće godine</w:t>
            </w:r>
          </w:p>
        </w:tc>
        <w:tc>
          <w:tcPr>
            <w:tcW w:w="700" w:type="dxa"/>
            <w:shd w:val="clear" w:color="auto" w:fill="E7F0F9"/>
            <w:tcMar>
              <w:top w:w="0" w:type="dxa"/>
              <w:bottom w:w="0" w:type="dxa"/>
            </w:tcMar>
            <w:vAlign w:val="center"/>
          </w:tcPr>
          <w:p w14:paraId="6250ABB5" w14:textId="77777777" w:rsidR="00BB69DB" w:rsidRDefault="00BB69DB">
            <w:pPr>
              <w:keepNext/>
              <w:keepLines/>
              <w:jc w:val="center"/>
            </w:pPr>
            <w:r>
              <w:rPr>
                <w:b/>
                <w:sz w:val="18"/>
              </w:rPr>
              <w:t>Indeks (%)</w:t>
            </w:r>
          </w:p>
        </w:tc>
      </w:tr>
      <w:tr w:rsidR="00BB69DB" w14:paraId="22DEBE32" w14:textId="77777777">
        <w:trPr>
          <w:cantSplit/>
          <w:trHeight w:val="560"/>
        </w:trPr>
        <w:tc>
          <w:tcPr>
            <w:tcW w:w="700" w:type="dxa"/>
            <w:tcMar>
              <w:top w:w="0" w:type="dxa"/>
              <w:bottom w:w="0" w:type="dxa"/>
            </w:tcMar>
            <w:vAlign w:val="center"/>
          </w:tcPr>
          <w:p w14:paraId="4144B691" w14:textId="77777777" w:rsidR="00BB69DB" w:rsidRDefault="00BB69DB">
            <w:pPr>
              <w:keepNext/>
              <w:keepLines/>
            </w:pPr>
            <w:r>
              <w:rPr>
                <w:sz w:val="18"/>
              </w:rPr>
              <w:t>45</w:t>
            </w:r>
          </w:p>
        </w:tc>
        <w:tc>
          <w:tcPr>
            <w:tcW w:w="3180" w:type="dxa"/>
            <w:tcMar>
              <w:top w:w="0" w:type="dxa"/>
              <w:bottom w:w="0" w:type="dxa"/>
            </w:tcMar>
            <w:vAlign w:val="center"/>
          </w:tcPr>
          <w:p w14:paraId="041CA0E9" w14:textId="77777777" w:rsidR="00BB69DB" w:rsidRDefault="00BB69DB">
            <w:pPr>
              <w:keepNext/>
              <w:keepLines/>
            </w:pPr>
            <w:r>
              <w:rPr>
                <w:sz w:val="18"/>
              </w:rPr>
              <w:t>Rashodi za dodatna ulaganja na nefinancijskoj imovini (šifre 451 do 454)</w:t>
            </w:r>
          </w:p>
        </w:tc>
        <w:tc>
          <w:tcPr>
            <w:tcW w:w="700" w:type="dxa"/>
            <w:tcMar>
              <w:top w:w="0" w:type="dxa"/>
              <w:bottom w:w="0" w:type="dxa"/>
            </w:tcMar>
            <w:vAlign w:val="center"/>
          </w:tcPr>
          <w:p w14:paraId="5955C204" w14:textId="77777777" w:rsidR="00BB69DB" w:rsidRDefault="00BB69DB">
            <w:pPr>
              <w:keepNext/>
              <w:keepLines/>
            </w:pPr>
            <w:r>
              <w:rPr>
                <w:sz w:val="18"/>
              </w:rPr>
              <w:t>45</w:t>
            </w:r>
          </w:p>
        </w:tc>
        <w:tc>
          <w:tcPr>
            <w:tcW w:w="1860" w:type="dxa"/>
            <w:tcMar>
              <w:top w:w="0" w:type="dxa"/>
              <w:bottom w:w="0" w:type="dxa"/>
            </w:tcMar>
            <w:vAlign w:val="center"/>
          </w:tcPr>
          <w:p w14:paraId="4A00F635" w14:textId="77777777" w:rsidR="00BB69DB" w:rsidRDefault="00BB69DB">
            <w:pPr>
              <w:keepNext/>
              <w:keepLines/>
              <w:jc w:val="right"/>
            </w:pPr>
            <w:r>
              <w:rPr>
                <w:sz w:val="18"/>
              </w:rPr>
              <w:t>287.776,60</w:t>
            </w:r>
          </w:p>
        </w:tc>
        <w:tc>
          <w:tcPr>
            <w:tcW w:w="1860" w:type="dxa"/>
            <w:tcMar>
              <w:top w:w="0" w:type="dxa"/>
              <w:bottom w:w="0" w:type="dxa"/>
            </w:tcMar>
            <w:vAlign w:val="center"/>
          </w:tcPr>
          <w:p w14:paraId="21F23888" w14:textId="77777777" w:rsidR="00BB69DB" w:rsidRDefault="00BB69DB">
            <w:pPr>
              <w:keepNext/>
              <w:keepLines/>
              <w:jc w:val="right"/>
            </w:pPr>
            <w:r>
              <w:rPr>
                <w:sz w:val="18"/>
              </w:rPr>
              <w:t>537.650,50</w:t>
            </w:r>
          </w:p>
        </w:tc>
        <w:tc>
          <w:tcPr>
            <w:tcW w:w="700" w:type="dxa"/>
            <w:tcMar>
              <w:top w:w="0" w:type="dxa"/>
              <w:bottom w:w="0" w:type="dxa"/>
            </w:tcMar>
            <w:vAlign w:val="center"/>
          </w:tcPr>
          <w:p w14:paraId="646F74BF" w14:textId="77777777" w:rsidR="00BB69DB" w:rsidRDefault="00BB69DB">
            <w:pPr>
              <w:keepNext/>
              <w:keepLines/>
              <w:jc w:val="right"/>
            </w:pPr>
            <w:r>
              <w:rPr>
                <w:sz w:val="18"/>
              </w:rPr>
              <w:t>186,8</w:t>
            </w:r>
          </w:p>
        </w:tc>
      </w:tr>
    </w:tbl>
    <w:p w14:paraId="563352D6" w14:textId="77777777" w:rsidR="00BB69DB" w:rsidRDefault="00BB69DB" w:rsidP="00BB69DB">
      <w:pPr>
        <w:jc w:val="both"/>
      </w:pPr>
    </w:p>
    <w:p w14:paraId="09FDD14F" w14:textId="77777777" w:rsidR="00BB69DB" w:rsidRDefault="00BB69DB" w:rsidP="00BB69DB">
      <w:pPr>
        <w:jc w:val="both"/>
      </w:pPr>
      <w:r>
        <w:t>U 2025. godini izvršena su dodatna ulaganja na poslovnoj zgradi LI Poreč, poslovnoj zgradi Kockica (izgradnja sunčane elektrane) i zgradi NCC Sisak. Izvršena su i dodatna ulaganja na brodu Kraljica mora.</w:t>
      </w:r>
    </w:p>
    <w:p w14:paraId="695376F3" w14:textId="77777777" w:rsidR="00BB69DB" w:rsidRDefault="00BB69DB"/>
    <w:p w14:paraId="42072B68" w14:textId="77777777" w:rsidR="00BB69DB" w:rsidRDefault="00BB69DB">
      <w:pPr>
        <w:keepNext/>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69DB" w14:paraId="30A4FE55" w14:textId="77777777">
        <w:trPr>
          <w:cantSplit/>
        </w:trPr>
        <w:tc>
          <w:tcPr>
            <w:tcW w:w="700" w:type="dxa"/>
            <w:shd w:val="clear" w:color="auto" w:fill="E7F0F9"/>
            <w:tcMar>
              <w:top w:w="0" w:type="dxa"/>
              <w:bottom w:w="0" w:type="dxa"/>
            </w:tcMar>
            <w:vAlign w:val="center"/>
          </w:tcPr>
          <w:p w14:paraId="28191A89" w14:textId="77777777" w:rsidR="00BB69DB" w:rsidRDefault="00BB69DB">
            <w:pPr>
              <w:keepNext/>
              <w:keepLines/>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1BC6DE" w14:textId="77777777" w:rsidR="00BB69DB" w:rsidRDefault="00BB69DB">
            <w:pPr>
              <w:keepNext/>
              <w:keepLines/>
              <w:jc w:val="center"/>
            </w:pPr>
            <w:r>
              <w:rPr>
                <w:b/>
                <w:sz w:val="18"/>
              </w:rPr>
              <w:t>Opis stavke</w:t>
            </w:r>
          </w:p>
        </w:tc>
        <w:tc>
          <w:tcPr>
            <w:tcW w:w="700" w:type="dxa"/>
            <w:shd w:val="clear" w:color="auto" w:fill="E7F0F9"/>
            <w:tcMar>
              <w:top w:w="0" w:type="dxa"/>
              <w:bottom w:w="0" w:type="dxa"/>
            </w:tcMar>
            <w:vAlign w:val="center"/>
          </w:tcPr>
          <w:p w14:paraId="52A92F54" w14:textId="77777777" w:rsidR="00BB69DB" w:rsidRDefault="00BB69DB">
            <w:pPr>
              <w:keepNext/>
              <w:keepLines/>
              <w:jc w:val="center"/>
            </w:pPr>
            <w:r>
              <w:rPr>
                <w:b/>
                <w:sz w:val="18"/>
              </w:rPr>
              <w:t>Šifra</w:t>
            </w:r>
          </w:p>
        </w:tc>
        <w:tc>
          <w:tcPr>
            <w:tcW w:w="1860" w:type="dxa"/>
            <w:shd w:val="clear" w:color="auto" w:fill="E7F0F9"/>
            <w:tcMar>
              <w:top w:w="0" w:type="dxa"/>
              <w:bottom w:w="0" w:type="dxa"/>
            </w:tcMar>
            <w:vAlign w:val="center"/>
          </w:tcPr>
          <w:p w14:paraId="3F898CF2" w14:textId="77777777" w:rsidR="00BB69DB" w:rsidRDefault="00BB69DB">
            <w:pPr>
              <w:keepNext/>
              <w:keepLines/>
              <w:jc w:val="center"/>
            </w:pPr>
            <w:r>
              <w:rPr>
                <w:b/>
                <w:sz w:val="18"/>
              </w:rPr>
              <w:t>Ostvareno u izvještajnom razdoblju prethodne godine</w:t>
            </w:r>
          </w:p>
        </w:tc>
        <w:tc>
          <w:tcPr>
            <w:tcW w:w="1860" w:type="dxa"/>
            <w:shd w:val="clear" w:color="auto" w:fill="E7F0F9"/>
            <w:tcMar>
              <w:top w:w="0" w:type="dxa"/>
              <w:bottom w:w="0" w:type="dxa"/>
            </w:tcMar>
            <w:vAlign w:val="center"/>
          </w:tcPr>
          <w:p w14:paraId="1AF0FB2E" w14:textId="77777777" w:rsidR="00BB69DB" w:rsidRDefault="00BB69DB">
            <w:pPr>
              <w:keepNext/>
              <w:keepLines/>
              <w:jc w:val="center"/>
            </w:pPr>
            <w:r>
              <w:rPr>
                <w:b/>
                <w:sz w:val="18"/>
              </w:rPr>
              <w:t>Ostvareno u izvještajnom razdoblju tekuće godine</w:t>
            </w:r>
          </w:p>
        </w:tc>
        <w:tc>
          <w:tcPr>
            <w:tcW w:w="700" w:type="dxa"/>
            <w:shd w:val="clear" w:color="auto" w:fill="E7F0F9"/>
            <w:tcMar>
              <w:top w:w="0" w:type="dxa"/>
              <w:bottom w:w="0" w:type="dxa"/>
            </w:tcMar>
            <w:vAlign w:val="center"/>
          </w:tcPr>
          <w:p w14:paraId="29E0D054" w14:textId="77777777" w:rsidR="00BB69DB" w:rsidRDefault="00BB69DB">
            <w:pPr>
              <w:keepNext/>
              <w:keepLines/>
              <w:jc w:val="center"/>
            </w:pPr>
            <w:r>
              <w:rPr>
                <w:b/>
                <w:sz w:val="18"/>
              </w:rPr>
              <w:t>Indeks (%)</w:t>
            </w:r>
          </w:p>
        </w:tc>
      </w:tr>
      <w:tr w:rsidR="00BB69DB" w14:paraId="186E0CF3" w14:textId="77777777">
        <w:trPr>
          <w:cantSplit/>
          <w:trHeight w:val="560"/>
        </w:trPr>
        <w:tc>
          <w:tcPr>
            <w:tcW w:w="700" w:type="dxa"/>
            <w:tcMar>
              <w:top w:w="0" w:type="dxa"/>
              <w:bottom w:w="0" w:type="dxa"/>
            </w:tcMar>
            <w:vAlign w:val="center"/>
          </w:tcPr>
          <w:p w14:paraId="44BDD839" w14:textId="77777777" w:rsidR="00BB69DB" w:rsidRDefault="00BB69DB">
            <w:pPr>
              <w:keepNext/>
              <w:keepLines/>
            </w:pPr>
            <w:r>
              <w:rPr>
                <w:sz w:val="18"/>
              </w:rPr>
              <w:t>84</w:t>
            </w:r>
          </w:p>
        </w:tc>
        <w:tc>
          <w:tcPr>
            <w:tcW w:w="3180" w:type="dxa"/>
            <w:tcMar>
              <w:top w:w="0" w:type="dxa"/>
              <w:bottom w:w="0" w:type="dxa"/>
            </w:tcMar>
            <w:vAlign w:val="center"/>
          </w:tcPr>
          <w:p w14:paraId="421CD846" w14:textId="77777777" w:rsidR="00BB69DB" w:rsidRDefault="00BB69DB">
            <w:pPr>
              <w:keepNext/>
              <w:keepLines/>
            </w:pPr>
            <w:r>
              <w:rPr>
                <w:sz w:val="18"/>
              </w:rPr>
              <w:t>Primici od zaduživanja (šifre 841+842+843+844+845+847)</w:t>
            </w:r>
          </w:p>
        </w:tc>
        <w:tc>
          <w:tcPr>
            <w:tcW w:w="700" w:type="dxa"/>
            <w:tcMar>
              <w:top w:w="0" w:type="dxa"/>
              <w:bottom w:w="0" w:type="dxa"/>
            </w:tcMar>
            <w:vAlign w:val="center"/>
          </w:tcPr>
          <w:p w14:paraId="67A1DFE7" w14:textId="77777777" w:rsidR="00BB69DB" w:rsidRDefault="00BB69DB">
            <w:pPr>
              <w:keepNext/>
              <w:keepLines/>
            </w:pPr>
            <w:r>
              <w:rPr>
                <w:sz w:val="18"/>
              </w:rPr>
              <w:t>84</w:t>
            </w:r>
          </w:p>
        </w:tc>
        <w:tc>
          <w:tcPr>
            <w:tcW w:w="1860" w:type="dxa"/>
            <w:tcMar>
              <w:top w:w="0" w:type="dxa"/>
              <w:bottom w:w="0" w:type="dxa"/>
            </w:tcMar>
            <w:vAlign w:val="center"/>
          </w:tcPr>
          <w:p w14:paraId="48177F07" w14:textId="77777777" w:rsidR="00BB69DB" w:rsidRDefault="00BB69DB">
            <w:pPr>
              <w:keepNext/>
              <w:keepLines/>
              <w:jc w:val="right"/>
            </w:pPr>
            <w:r>
              <w:rPr>
                <w:sz w:val="18"/>
              </w:rPr>
              <w:t>108.500.000,00</w:t>
            </w:r>
          </w:p>
        </w:tc>
        <w:tc>
          <w:tcPr>
            <w:tcW w:w="1860" w:type="dxa"/>
            <w:tcMar>
              <w:top w:w="0" w:type="dxa"/>
              <w:bottom w:w="0" w:type="dxa"/>
            </w:tcMar>
            <w:vAlign w:val="center"/>
          </w:tcPr>
          <w:p w14:paraId="48710EC7" w14:textId="77777777" w:rsidR="00BB69DB" w:rsidRDefault="00BB69DB">
            <w:pPr>
              <w:keepNext/>
              <w:keepLines/>
              <w:jc w:val="right"/>
            </w:pPr>
            <w:r>
              <w:rPr>
                <w:sz w:val="18"/>
              </w:rPr>
              <w:t>134.215.570,17</w:t>
            </w:r>
          </w:p>
        </w:tc>
        <w:tc>
          <w:tcPr>
            <w:tcW w:w="700" w:type="dxa"/>
            <w:tcMar>
              <w:top w:w="0" w:type="dxa"/>
              <w:bottom w:w="0" w:type="dxa"/>
            </w:tcMar>
            <w:vAlign w:val="center"/>
          </w:tcPr>
          <w:p w14:paraId="3450BCF7" w14:textId="77777777" w:rsidR="00BB69DB" w:rsidRDefault="00BB69DB">
            <w:pPr>
              <w:keepNext/>
              <w:keepLines/>
              <w:jc w:val="right"/>
            </w:pPr>
            <w:r>
              <w:rPr>
                <w:sz w:val="18"/>
              </w:rPr>
              <w:t>123,7</w:t>
            </w:r>
          </w:p>
        </w:tc>
      </w:tr>
    </w:tbl>
    <w:p w14:paraId="50F3891D" w14:textId="77777777" w:rsidR="00BB69DB" w:rsidRDefault="00BB69DB"/>
    <w:p w14:paraId="29DFF846" w14:textId="77777777" w:rsidR="00BB69DB" w:rsidRDefault="00BB69DB" w:rsidP="00BB69DB">
      <w:pPr>
        <w:jc w:val="both"/>
      </w:pPr>
      <w:r>
        <w:t xml:space="preserve">14.02.2025. uplaćena je druga tranša zajma 95.797 EIB-a za projekt Revitalizacija željezničkog sustava u Republici Hrvatskoj u iznosu od 134,2 </w:t>
      </w:r>
      <w:proofErr w:type="spellStart"/>
      <w:r>
        <w:t>mil</w:t>
      </w:r>
      <w:proofErr w:type="spellEnd"/>
      <w:r>
        <w:t xml:space="preserve"> EUR, a u 2024. prva tranša zajma je uplaćena u iznosu od 108,5 </w:t>
      </w:r>
      <w:proofErr w:type="spellStart"/>
      <w:r>
        <w:t>mil</w:t>
      </w:r>
      <w:proofErr w:type="spellEnd"/>
      <w:r>
        <w:t xml:space="preserve"> EUR.</w:t>
      </w:r>
    </w:p>
    <w:p w14:paraId="10446E00" w14:textId="77777777" w:rsidR="00BB69DB" w:rsidRDefault="00BB69DB"/>
    <w:p w14:paraId="2C3C9DF0" w14:textId="77777777" w:rsidR="00BB69DB" w:rsidRDefault="00BB69DB">
      <w:pPr>
        <w:keepNext/>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69DB" w14:paraId="52C8B454" w14:textId="77777777">
        <w:trPr>
          <w:cantSplit/>
        </w:trPr>
        <w:tc>
          <w:tcPr>
            <w:tcW w:w="700" w:type="dxa"/>
            <w:shd w:val="clear" w:color="auto" w:fill="E7F0F9"/>
            <w:tcMar>
              <w:top w:w="0" w:type="dxa"/>
              <w:bottom w:w="0" w:type="dxa"/>
            </w:tcMar>
            <w:vAlign w:val="center"/>
          </w:tcPr>
          <w:p w14:paraId="2C83D2E9" w14:textId="77777777" w:rsidR="00BB69DB" w:rsidRDefault="00BB69DB">
            <w:pPr>
              <w:keepNext/>
              <w:keepLines/>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3EFC80" w14:textId="77777777" w:rsidR="00BB69DB" w:rsidRDefault="00BB69DB">
            <w:pPr>
              <w:keepNext/>
              <w:keepLines/>
              <w:jc w:val="center"/>
            </w:pPr>
            <w:r>
              <w:rPr>
                <w:b/>
                <w:sz w:val="18"/>
              </w:rPr>
              <w:t>Opis stavke</w:t>
            </w:r>
          </w:p>
        </w:tc>
        <w:tc>
          <w:tcPr>
            <w:tcW w:w="700" w:type="dxa"/>
            <w:shd w:val="clear" w:color="auto" w:fill="E7F0F9"/>
            <w:tcMar>
              <w:top w:w="0" w:type="dxa"/>
              <w:bottom w:w="0" w:type="dxa"/>
            </w:tcMar>
            <w:vAlign w:val="center"/>
          </w:tcPr>
          <w:p w14:paraId="03699BC3" w14:textId="77777777" w:rsidR="00BB69DB" w:rsidRDefault="00BB69DB">
            <w:pPr>
              <w:keepNext/>
              <w:keepLines/>
              <w:jc w:val="center"/>
            </w:pPr>
            <w:r>
              <w:rPr>
                <w:b/>
                <w:sz w:val="18"/>
              </w:rPr>
              <w:t>Šifra</w:t>
            </w:r>
          </w:p>
        </w:tc>
        <w:tc>
          <w:tcPr>
            <w:tcW w:w="1860" w:type="dxa"/>
            <w:shd w:val="clear" w:color="auto" w:fill="E7F0F9"/>
            <w:tcMar>
              <w:top w:w="0" w:type="dxa"/>
              <w:bottom w:w="0" w:type="dxa"/>
            </w:tcMar>
            <w:vAlign w:val="center"/>
          </w:tcPr>
          <w:p w14:paraId="0589327A" w14:textId="77777777" w:rsidR="00BB69DB" w:rsidRDefault="00BB69DB">
            <w:pPr>
              <w:keepNext/>
              <w:keepLines/>
              <w:jc w:val="center"/>
            </w:pPr>
            <w:r>
              <w:rPr>
                <w:b/>
                <w:sz w:val="18"/>
              </w:rPr>
              <w:t>Ostvareno u izvještajnom razdoblju prethodne godine</w:t>
            </w:r>
          </w:p>
        </w:tc>
        <w:tc>
          <w:tcPr>
            <w:tcW w:w="1860" w:type="dxa"/>
            <w:shd w:val="clear" w:color="auto" w:fill="E7F0F9"/>
            <w:tcMar>
              <w:top w:w="0" w:type="dxa"/>
              <w:bottom w:w="0" w:type="dxa"/>
            </w:tcMar>
            <w:vAlign w:val="center"/>
          </w:tcPr>
          <w:p w14:paraId="7B62335B" w14:textId="77777777" w:rsidR="00BB69DB" w:rsidRDefault="00BB69DB">
            <w:pPr>
              <w:keepNext/>
              <w:keepLines/>
              <w:jc w:val="center"/>
            </w:pPr>
            <w:r>
              <w:rPr>
                <w:b/>
                <w:sz w:val="18"/>
              </w:rPr>
              <w:t>Ostvareno u izvještajnom razdoblju tekuće godine</w:t>
            </w:r>
          </w:p>
        </w:tc>
        <w:tc>
          <w:tcPr>
            <w:tcW w:w="700" w:type="dxa"/>
            <w:shd w:val="clear" w:color="auto" w:fill="E7F0F9"/>
            <w:tcMar>
              <w:top w:w="0" w:type="dxa"/>
              <w:bottom w:w="0" w:type="dxa"/>
            </w:tcMar>
            <w:vAlign w:val="center"/>
          </w:tcPr>
          <w:p w14:paraId="01591D61" w14:textId="77777777" w:rsidR="00BB69DB" w:rsidRDefault="00BB69DB">
            <w:pPr>
              <w:keepNext/>
              <w:keepLines/>
              <w:jc w:val="center"/>
            </w:pPr>
            <w:r>
              <w:rPr>
                <w:b/>
                <w:sz w:val="18"/>
              </w:rPr>
              <w:t>Indeks (%)</w:t>
            </w:r>
          </w:p>
        </w:tc>
      </w:tr>
      <w:tr w:rsidR="00BB69DB" w14:paraId="1016D3AF" w14:textId="77777777">
        <w:trPr>
          <w:cantSplit/>
          <w:trHeight w:val="560"/>
        </w:trPr>
        <w:tc>
          <w:tcPr>
            <w:tcW w:w="700" w:type="dxa"/>
            <w:tcMar>
              <w:top w:w="0" w:type="dxa"/>
              <w:bottom w:w="0" w:type="dxa"/>
            </w:tcMar>
            <w:vAlign w:val="center"/>
          </w:tcPr>
          <w:p w14:paraId="78BAED27" w14:textId="77777777" w:rsidR="00BB69DB" w:rsidRDefault="00BB69DB">
            <w:pPr>
              <w:keepNext/>
              <w:keepLines/>
            </w:pPr>
            <w:r>
              <w:rPr>
                <w:sz w:val="18"/>
              </w:rPr>
              <w:t>51</w:t>
            </w:r>
          </w:p>
        </w:tc>
        <w:tc>
          <w:tcPr>
            <w:tcW w:w="3180" w:type="dxa"/>
            <w:tcMar>
              <w:top w:w="0" w:type="dxa"/>
              <w:bottom w:w="0" w:type="dxa"/>
            </w:tcMar>
            <w:vAlign w:val="center"/>
          </w:tcPr>
          <w:p w14:paraId="3628F963" w14:textId="77777777" w:rsidR="00BB69DB" w:rsidRDefault="00BB69DB">
            <w:pPr>
              <w:keepNext/>
              <w:keepLines/>
            </w:pPr>
            <w:r>
              <w:rPr>
                <w:sz w:val="18"/>
              </w:rPr>
              <w:t xml:space="preserve">Izdaci za dane zajmove i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(šifre 511+512+513+514+515+516+517+518)</w:t>
            </w:r>
          </w:p>
        </w:tc>
        <w:tc>
          <w:tcPr>
            <w:tcW w:w="700" w:type="dxa"/>
            <w:tcMar>
              <w:top w:w="0" w:type="dxa"/>
              <w:bottom w:w="0" w:type="dxa"/>
            </w:tcMar>
            <w:vAlign w:val="center"/>
          </w:tcPr>
          <w:p w14:paraId="5CF42D7E" w14:textId="77777777" w:rsidR="00BB69DB" w:rsidRDefault="00BB69DB">
            <w:pPr>
              <w:keepNext/>
              <w:keepLines/>
            </w:pPr>
            <w:r>
              <w:rPr>
                <w:sz w:val="18"/>
              </w:rPr>
              <w:t>51</w:t>
            </w:r>
          </w:p>
        </w:tc>
        <w:tc>
          <w:tcPr>
            <w:tcW w:w="1860" w:type="dxa"/>
            <w:tcMar>
              <w:top w:w="0" w:type="dxa"/>
              <w:bottom w:w="0" w:type="dxa"/>
            </w:tcMar>
            <w:vAlign w:val="center"/>
          </w:tcPr>
          <w:p w14:paraId="1E823582" w14:textId="77777777" w:rsidR="00BB69DB" w:rsidRDefault="00BB69DB">
            <w:pPr>
              <w:keepNext/>
              <w:keepLines/>
              <w:jc w:val="right"/>
            </w:pPr>
            <w:r>
              <w:rPr>
                <w:sz w:val="18"/>
              </w:rPr>
              <w:t>720.749,60</w:t>
            </w:r>
          </w:p>
        </w:tc>
        <w:tc>
          <w:tcPr>
            <w:tcW w:w="1860" w:type="dxa"/>
            <w:tcMar>
              <w:top w:w="0" w:type="dxa"/>
              <w:bottom w:w="0" w:type="dxa"/>
            </w:tcMar>
            <w:vAlign w:val="center"/>
          </w:tcPr>
          <w:p w14:paraId="044B83F0" w14:textId="77777777" w:rsidR="00BB69DB" w:rsidRDefault="00BB69DB">
            <w:pPr>
              <w:keepNext/>
              <w:keepLines/>
              <w:jc w:val="right"/>
            </w:pPr>
            <w:r>
              <w:rPr>
                <w:sz w:val="18"/>
              </w:rPr>
              <w:t>0,00</w:t>
            </w:r>
          </w:p>
        </w:tc>
        <w:tc>
          <w:tcPr>
            <w:tcW w:w="700" w:type="dxa"/>
            <w:tcMar>
              <w:top w:w="0" w:type="dxa"/>
              <w:bottom w:w="0" w:type="dxa"/>
            </w:tcMar>
            <w:vAlign w:val="center"/>
          </w:tcPr>
          <w:p w14:paraId="60113B25" w14:textId="77777777" w:rsidR="00BB69DB" w:rsidRDefault="00BB69DB">
            <w:pPr>
              <w:keepNext/>
              <w:keepLines/>
              <w:jc w:val="right"/>
            </w:pPr>
            <w:r>
              <w:rPr>
                <w:sz w:val="18"/>
              </w:rPr>
              <w:t>0</w:t>
            </w:r>
          </w:p>
        </w:tc>
      </w:tr>
    </w:tbl>
    <w:p w14:paraId="56C3A0DD" w14:textId="77777777" w:rsidR="00BB69DB" w:rsidRDefault="00BB69DB"/>
    <w:p w14:paraId="29FF1248" w14:textId="77777777" w:rsidR="00BB69DB" w:rsidRDefault="00BB69DB" w:rsidP="00BB69DB">
      <w:pPr>
        <w:jc w:val="both"/>
      </w:pPr>
      <w:r>
        <w:t>U  2024. godini Autocesti Zagreb-Macelj je po koncesijskom ugovoru isplaćen doprinos za pad prometa u iznosu od 720.749,60 EUR koji je vraćen tijekom godine, a u 2025. godini doprinos za pad prometa, sukladno odredbama iz koncesijskog ugovora, nije isplaćen.</w:t>
      </w:r>
    </w:p>
    <w:p w14:paraId="396D1F63" w14:textId="77777777" w:rsidR="00BB69DB" w:rsidRDefault="00BB69DB"/>
    <w:p w14:paraId="2A59DA87" w14:textId="77777777" w:rsidR="00BB69DB" w:rsidRDefault="00BB69DB">
      <w:pPr>
        <w:keepNext/>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69DB" w14:paraId="7A67CF37" w14:textId="77777777">
        <w:trPr>
          <w:cantSplit/>
        </w:trPr>
        <w:tc>
          <w:tcPr>
            <w:tcW w:w="700" w:type="dxa"/>
            <w:shd w:val="clear" w:color="auto" w:fill="E7F0F9"/>
            <w:tcMar>
              <w:top w:w="0" w:type="dxa"/>
              <w:bottom w:w="0" w:type="dxa"/>
            </w:tcMar>
            <w:vAlign w:val="center"/>
          </w:tcPr>
          <w:p w14:paraId="54214469" w14:textId="77777777" w:rsidR="00BB69DB" w:rsidRDefault="00BB69DB">
            <w:pPr>
              <w:keepNext/>
              <w:keepLines/>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4A420B" w14:textId="77777777" w:rsidR="00BB69DB" w:rsidRDefault="00BB69DB">
            <w:pPr>
              <w:keepNext/>
              <w:keepLines/>
              <w:jc w:val="center"/>
            </w:pPr>
            <w:r>
              <w:rPr>
                <w:b/>
                <w:sz w:val="18"/>
              </w:rPr>
              <w:t>Opis stavke</w:t>
            </w:r>
          </w:p>
        </w:tc>
        <w:tc>
          <w:tcPr>
            <w:tcW w:w="700" w:type="dxa"/>
            <w:shd w:val="clear" w:color="auto" w:fill="E7F0F9"/>
            <w:tcMar>
              <w:top w:w="0" w:type="dxa"/>
              <w:bottom w:w="0" w:type="dxa"/>
            </w:tcMar>
            <w:vAlign w:val="center"/>
          </w:tcPr>
          <w:p w14:paraId="0AD467EE" w14:textId="77777777" w:rsidR="00BB69DB" w:rsidRDefault="00BB69DB">
            <w:pPr>
              <w:keepNext/>
              <w:keepLines/>
              <w:jc w:val="center"/>
            </w:pPr>
            <w:r>
              <w:rPr>
                <w:b/>
                <w:sz w:val="18"/>
              </w:rPr>
              <w:t>Šifra</w:t>
            </w:r>
          </w:p>
        </w:tc>
        <w:tc>
          <w:tcPr>
            <w:tcW w:w="1860" w:type="dxa"/>
            <w:shd w:val="clear" w:color="auto" w:fill="E7F0F9"/>
            <w:tcMar>
              <w:top w:w="0" w:type="dxa"/>
              <w:bottom w:w="0" w:type="dxa"/>
            </w:tcMar>
            <w:vAlign w:val="center"/>
          </w:tcPr>
          <w:p w14:paraId="11A3D753" w14:textId="77777777" w:rsidR="00BB69DB" w:rsidRDefault="00BB69DB">
            <w:pPr>
              <w:keepNext/>
              <w:keepLines/>
              <w:jc w:val="center"/>
            </w:pPr>
            <w:r>
              <w:rPr>
                <w:b/>
                <w:sz w:val="18"/>
              </w:rPr>
              <w:t>Ostvareno u izvještajnom razdoblju prethodne godine</w:t>
            </w:r>
          </w:p>
        </w:tc>
        <w:tc>
          <w:tcPr>
            <w:tcW w:w="1860" w:type="dxa"/>
            <w:shd w:val="clear" w:color="auto" w:fill="E7F0F9"/>
            <w:tcMar>
              <w:top w:w="0" w:type="dxa"/>
              <w:bottom w:w="0" w:type="dxa"/>
            </w:tcMar>
            <w:vAlign w:val="center"/>
          </w:tcPr>
          <w:p w14:paraId="55885807" w14:textId="77777777" w:rsidR="00BB69DB" w:rsidRDefault="00BB69DB">
            <w:pPr>
              <w:keepNext/>
              <w:keepLines/>
              <w:jc w:val="center"/>
            </w:pPr>
            <w:r>
              <w:rPr>
                <w:b/>
                <w:sz w:val="18"/>
              </w:rPr>
              <w:t>Ostvareno u izvještajnom razdoblju tekuće godine</w:t>
            </w:r>
          </w:p>
        </w:tc>
        <w:tc>
          <w:tcPr>
            <w:tcW w:w="700" w:type="dxa"/>
            <w:shd w:val="clear" w:color="auto" w:fill="E7F0F9"/>
            <w:tcMar>
              <w:top w:w="0" w:type="dxa"/>
              <w:bottom w:w="0" w:type="dxa"/>
            </w:tcMar>
            <w:vAlign w:val="center"/>
          </w:tcPr>
          <w:p w14:paraId="6AA5EC51" w14:textId="77777777" w:rsidR="00BB69DB" w:rsidRDefault="00BB69DB">
            <w:pPr>
              <w:keepNext/>
              <w:keepLines/>
              <w:jc w:val="center"/>
            </w:pPr>
            <w:r>
              <w:rPr>
                <w:b/>
                <w:sz w:val="18"/>
              </w:rPr>
              <w:t>Indeks (%)</w:t>
            </w:r>
          </w:p>
        </w:tc>
      </w:tr>
      <w:tr w:rsidR="00BB69DB" w14:paraId="01261463" w14:textId="77777777">
        <w:trPr>
          <w:cantSplit/>
          <w:trHeight w:val="560"/>
        </w:trPr>
        <w:tc>
          <w:tcPr>
            <w:tcW w:w="700" w:type="dxa"/>
            <w:tcMar>
              <w:top w:w="0" w:type="dxa"/>
              <w:bottom w:w="0" w:type="dxa"/>
            </w:tcMar>
            <w:vAlign w:val="center"/>
          </w:tcPr>
          <w:p w14:paraId="7B85717B" w14:textId="77777777" w:rsidR="00BB69DB" w:rsidRDefault="00BB69DB">
            <w:pPr>
              <w:keepNext/>
              <w:keepLines/>
            </w:pPr>
            <w:r>
              <w:rPr>
                <w:sz w:val="18"/>
              </w:rPr>
              <w:t>53</w:t>
            </w:r>
          </w:p>
        </w:tc>
        <w:tc>
          <w:tcPr>
            <w:tcW w:w="3180" w:type="dxa"/>
            <w:tcMar>
              <w:top w:w="0" w:type="dxa"/>
              <w:bottom w:w="0" w:type="dxa"/>
            </w:tcMar>
            <w:vAlign w:val="center"/>
          </w:tcPr>
          <w:p w14:paraId="495F694E" w14:textId="77777777" w:rsidR="00BB69DB" w:rsidRDefault="00BB69DB">
            <w:pPr>
              <w:keepNext/>
              <w:keepLines/>
            </w:pPr>
            <w:r>
              <w:rPr>
                <w:sz w:val="18"/>
              </w:rPr>
              <w:t>Izdaci za ulaganja u financijske instrumente - dionice i udjele u glavnici (šifre 531+532+533+534)</w:t>
            </w:r>
          </w:p>
        </w:tc>
        <w:tc>
          <w:tcPr>
            <w:tcW w:w="700" w:type="dxa"/>
            <w:tcMar>
              <w:top w:w="0" w:type="dxa"/>
              <w:bottom w:w="0" w:type="dxa"/>
            </w:tcMar>
            <w:vAlign w:val="center"/>
          </w:tcPr>
          <w:p w14:paraId="6C57A548" w14:textId="77777777" w:rsidR="00BB69DB" w:rsidRDefault="00BB69DB">
            <w:pPr>
              <w:keepNext/>
              <w:keepLines/>
            </w:pPr>
            <w:r>
              <w:rPr>
                <w:sz w:val="18"/>
              </w:rPr>
              <w:t>53</w:t>
            </w:r>
          </w:p>
        </w:tc>
        <w:tc>
          <w:tcPr>
            <w:tcW w:w="1860" w:type="dxa"/>
            <w:tcMar>
              <w:top w:w="0" w:type="dxa"/>
              <w:bottom w:w="0" w:type="dxa"/>
            </w:tcMar>
            <w:vAlign w:val="center"/>
          </w:tcPr>
          <w:p w14:paraId="796CB416" w14:textId="77777777" w:rsidR="00BB69DB" w:rsidRDefault="00BB69DB">
            <w:pPr>
              <w:keepNext/>
              <w:keepLines/>
              <w:jc w:val="right"/>
            </w:pPr>
            <w:r>
              <w:rPr>
                <w:sz w:val="18"/>
              </w:rPr>
              <w:t>0,00</w:t>
            </w:r>
          </w:p>
        </w:tc>
        <w:tc>
          <w:tcPr>
            <w:tcW w:w="1860" w:type="dxa"/>
            <w:tcMar>
              <w:top w:w="0" w:type="dxa"/>
              <w:bottom w:w="0" w:type="dxa"/>
            </w:tcMar>
            <w:vAlign w:val="center"/>
          </w:tcPr>
          <w:p w14:paraId="5A45B6C9" w14:textId="77777777" w:rsidR="00BB69DB" w:rsidRDefault="00BB69DB">
            <w:pPr>
              <w:keepNext/>
              <w:keepLines/>
              <w:jc w:val="right"/>
            </w:pPr>
            <w:r>
              <w:rPr>
                <w:sz w:val="18"/>
              </w:rPr>
              <w:t>28.169.765,10</w:t>
            </w:r>
          </w:p>
        </w:tc>
        <w:tc>
          <w:tcPr>
            <w:tcW w:w="700" w:type="dxa"/>
            <w:tcMar>
              <w:top w:w="0" w:type="dxa"/>
              <w:bottom w:w="0" w:type="dxa"/>
            </w:tcMar>
            <w:vAlign w:val="center"/>
          </w:tcPr>
          <w:p w14:paraId="3F823488" w14:textId="77777777" w:rsidR="00BB69DB" w:rsidRDefault="00BB69DB">
            <w:pPr>
              <w:keepNext/>
              <w:keepLines/>
              <w:jc w:val="right"/>
            </w:pPr>
            <w:r>
              <w:rPr>
                <w:sz w:val="18"/>
              </w:rPr>
              <w:t>-</w:t>
            </w:r>
          </w:p>
        </w:tc>
      </w:tr>
    </w:tbl>
    <w:p w14:paraId="2CE8B850" w14:textId="77777777" w:rsidR="00BB69DB" w:rsidRDefault="00BB69DB"/>
    <w:p w14:paraId="76F39E31" w14:textId="77777777" w:rsidR="00BB69DB" w:rsidRDefault="00BB69DB" w:rsidP="00E161EF">
      <w:pPr>
        <w:jc w:val="both"/>
      </w:pPr>
      <w:r>
        <w:t xml:space="preserve">U 2025. godini uplaćen je osnivački ulog za zračnu luku Srce Dalmacije d.o.o. u iznosu od 1.650,00 EUR. Na temelju Odluke o prihvaćanju nagodbe između Republike Hrvatske i HŽ Infrastrukture d.o.o. o uređenju imovinsko-pravnih pitanja preostalih nakon podjele HŽ-Hrvatske željeznice d.o.o., dana 7. siječnja 2025. godine sklopljena je nagodba između Republike Hrvatske i društva HŽ Infrastruktura d.o.o. U skladu s odredbama članka 5.2. Nagodbe iznos od 25 </w:t>
      </w:r>
      <w:proofErr w:type="spellStart"/>
      <w:r>
        <w:t>mil</w:t>
      </w:r>
      <w:proofErr w:type="spellEnd"/>
      <w:r>
        <w:t xml:space="preserve"> EUR Ministarstvo je isplatilo je na žiro račun društva HŽ Infrastruktura d.o.o.</w:t>
      </w:r>
    </w:p>
    <w:p w14:paraId="7B08ADED" w14:textId="77777777" w:rsidR="00BB69DB" w:rsidRDefault="00BB69DB" w:rsidP="00E161EF">
      <w:pPr>
        <w:jc w:val="both"/>
      </w:pPr>
      <w:r>
        <w:t>Na temelju Odluke o prihvaćanju nagodbe između Republike Hrvatske i HŽ Putničkog prijevoza d.o.o. o uređenju imovinsko-pravnih pitanja preostalih nakon podjele HŽ-Hrvatske željeznice d.o.o. dana 11. veljače  2025. godine sklopljena je nagodba između Republike Hrvatske i društva HŽ Putnički prijevoz d.o.o. U skladu s odredbama članka 5.2. Nagodbe iznos od 3.168.115,10 EUR uplaćen je društvu HŽ Putnički prijevoz d.o.o.</w:t>
      </w:r>
    </w:p>
    <w:p w14:paraId="170569E4" w14:textId="77777777" w:rsidR="00BB69DB" w:rsidRDefault="00BB69DB"/>
    <w:p w14:paraId="45BC0EFE" w14:textId="77777777" w:rsidR="00BB69DB" w:rsidRDefault="00BB69DB">
      <w:pPr>
        <w:keepNext/>
        <w:jc w:val="center"/>
      </w:pPr>
      <w:r>
        <w:rPr>
          <w:b/>
          <w:sz w:val="28"/>
        </w:rPr>
        <w:lastRenderedPageBreak/>
        <w:t>Bilanca</w:t>
      </w:r>
    </w:p>
    <w:p w14:paraId="5A9804D5" w14:textId="77777777" w:rsidR="00BB69DB" w:rsidRDefault="00BB69DB">
      <w:pPr>
        <w:keepNext/>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69DB" w14:paraId="60190124" w14:textId="77777777">
        <w:trPr>
          <w:cantSplit/>
        </w:trPr>
        <w:tc>
          <w:tcPr>
            <w:tcW w:w="700" w:type="dxa"/>
            <w:shd w:val="clear" w:color="auto" w:fill="E7F0F9"/>
            <w:tcMar>
              <w:top w:w="0" w:type="dxa"/>
              <w:bottom w:w="0" w:type="dxa"/>
            </w:tcMar>
            <w:vAlign w:val="center"/>
          </w:tcPr>
          <w:p w14:paraId="14FE4210" w14:textId="77777777" w:rsidR="00BB69DB" w:rsidRDefault="00BB69DB">
            <w:pPr>
              <w:keepNext/>
              <w:keepLines/>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391BC1" w14:textId="77777777" w:rsidR="00BB69DB" w:rsidRDefault="00BB69DB">
            <w:pPr>
              <w:keepNext/>
              <w:keepLines/>
              <w:jc w:val="center"/>
            </w:pPr>
            <w:r>
              <w:rPr>
                <w:b/>
                <w:sz w:val="18"/>
              </w:rPr>
              <w:t>Opis stavke</w:t>
            </w:r>
          </w:p>
        </w:tc>
        <w:tc>
          <w:tcPr>
            <w:tcW w:w="700" w:type="dxa"/>
            <w:shd w:val="clear" w:color="auto" w:fill="E7F0F9"/>
            <w:tcMar>
              <w:top w:w="0" w:type="dxa"/>
              <w:bottom w:w="0" w:type="dxa"/>
            </w:tcMar>
            <w:vAlign w:val="center"/>
          </w:tcPr>
          <w:p w14:paraId="1EEAA0F1" w14:textId="77777777" w:rsidR="00BB69DB" w:rsidRDefault="00BB69DB">
            <w:pPr>
              <w:keepNext/>
              <w:keepLines/>
              <w:jc w:val="center"/>
            </w:pPr>
            <w:r>
              <w:rPr>
                <w:b/>
                <w:sz w:val="18"/>
              </w:rPr>
              <w:t>Šifra</w:t>
            </w:r>
          </w:p>
        </w:tc>
        <w:tc>
          <w:tcPr>
            <w:tcW w:w="1860" w:type="dxa"/>
            <w:shd w:val="clear" w:color="auto" w:fill="E7F0F9"/>
            <w:tcMar>
              <w:top w:w="0" w:type="dxa"/>
              <w:bottom w:w="0" w:type="dxa"/>
            </w:tcMar>
            <w:vAlign w:val="center"/>
          </w:tcPr>
          <w:p w14:paraId="2A2D11B2" w14:textId="77777777" w:rsidR="00BB69DB" w:rsidRDefault="00BB69DB">
            <w:pPr>
              <w:keepNext/>
              <w:keepLines/>
              <w:jc w:val="center"/>
            </w:pPr>
            <w:r>
              <w:rPr>
                <w:b/>
                <w:sz w:val="18"/>
              </w:rPr>
              <w:t>Stanje 1. siječnja</w:t>
            </w:r>
          </w:p>
        </w:tc>
        <w:tc>
          <w:tcPr>
            <w:tcW w:w="1860" w:type="dxa"/>
            <w:shd w:val="clear" w:color="auto" w:fill="E7F0F9"/>
            <w:tcMar>
              <w:top w:w="0" w:type="dxa"/>
              <w:bottom w:w="0" w:type="dxa"/>
            </w:tcMar>
            <w:vAlign w:val="center"/>
          </w:tcPr>
          <w:p w14:paraId="1E0CB2D5" w14:textId="77777777" w:rsidR="00BB69DB" w:rsidRDefault="00BB69DB">
            <w:pPr>
              <w:keepNext/>
              <w:keepLines/>
              <w:jc w:val="center"/>
            </w:pPr>
            <w:r>
              <w:rPr>
                <w:b/>
                <w:sz w:val="18"/>
              </w:rPr>
              <w:t>Stanje 31. prosinca</w:t>
            </w:r>
          </w:p>
        </w:tc>
        <w:tc>
          <w:tcPr>
            <w:tcW w:w="700" w:type="dxa"/>
            <w:shd w:val="clear" w:color="auto" w:fill="E7F0F9"/>
            <w:tcMar>
              <w:top w:w="0" w:type="dxa"/>
              <w:bottom w:w="0" w:type="dxa"/>
            </w:tcMar>
            <w:vAlign w:val="center"/>
          </w:tcPr>
          <w:p w14:paraId="68354EB2" w14:textId="77777777" w:rsidR="00BB69DB" w:rsidRDefault="00BB69DB">
            <w:pPr>
              <w:keepNext/>
              <w:keepLines/>
              <w:jc w:val="center"/>
            </w:pPr>
            <w:r>
              <w:rPr>
                <w:b/>
                <w:sz w:val="18"/>
              </w:rPr>
              <w:t>Indeks (%)</w:t>
            </w:r>
          </w:p>
        </w:tc>
      </w:tr>
      <w:tr w:rsidR="00BB69DB" w14:paraId="32776264" w14:textId="77777777">
        <w:trPr>
          <w:cantSplit/>
          <w:trHeight w:val="560"/>
        </w:trPr>
        <w:tc>
          <w:tcPr>
            <w:tcW w:w="700" w:type="dxa"/>
            <w:tcMar>
              <w:top w:w="0" w:type="dxa"/>
              <w:bottom w:w="0" w:type="dxa"/>
            </w:tcMar>
            <w:vAlign w:val="center"/>
          </w:tcPr>
          <w:p w14:paraId="3A4DB34C" w14:textId="77777777" w:rsidR="00BB69DB" w:rsidRDefault="00BB69DB">
            <w:pPr>
              <w:keepNext/>
              <w:keepLines/>
            </w:pPr>
            <w:r>
              <w:rPr>
                <w:sz w:val="18"/>
              </w:rPr>
              <w:t>01</w:t>
            </w:r>
          </w:p>
        </w:tc>
        <w:tc>
          <w:tcPr>
            <w:tcW w:w="3180" w:type="dxa"/>
            <w:tcMar>
              <w:top w:w="0" w:type="dxa"/>
              <w:bottom w:w="0" w:type="dxa"/>
            </w:tcMar>
            <w:vAlign w:val="center"/>
          </w:tcPr>
          <w:p w14:paraId="51E42FB1" w14:textId="77777777" w:rsidR="00BB69DB" w:rsidRDefault="00BB69DB">
            <w:pPr>
              <w:keepNext/>
              <w:keepLines/>
            </w:pPr>
            <w:proofErr w:type="spellStart"/>
            <w:r>
              <w:rPr>
                <w:sz w:val="18"/>
              </w:rPr>
              <w:t>Neproizvedena</w:t>
            </w:r>
            <w:proofErr w:type="spellEnd"/>
            <w:r>
              <w:rPr>
                <w:sz w:val="18"/>
              </w:rPr>
              <w:t xml:space="preserve"> dugotrajna imovina (šifre 011+012-019)</w:t>
            </w:r>
          </w:p>
        </w:tc>
        <w:tc>
          <w:tcPr>
            <w:tcW w:w="700" w:type="dxa"/>
            <w:tcMar>
              <w:top w:w="0" w:type="dxa"/>
              <w:bottom w:w="0" w:type="dxa"/>
            </w:tcMar>
            <w:vAlign w:val="center"/>
          </w:tcPr>
          <w:p w14:paraId="3A068546" w14:textId="77777777" w:rsidR="00BB69DB" w:rsidRDefault="00BB69DB">
            <w:pPr>
              <w:keepNext/>
              <w:keepLines/>
            </w:pPr>
            <w:r>
              <w:rPr>
                <w:sz w:val="18"/>
              </w:rPr>
              <w:t>01</w:t>
            </w:r>
          </w:p>
        </w:tc>
        <w:tc>
          <w:tcPr>
            <w:tcW w:w="1860" w:type="dxa"/>
            <w:tcMar>
              <w:top w:w="0" w:type="dxa"/>
              <w:bottom w:w="0" w:type="dxa"/>
            </w:tcMar>
            <w:vAlign w:val="center"/>
          </w:tcPr>
          <w:p w14:paraId="27339E74" w14:textId="77777777" w:rsidR="00BB69DB" w:rsidRDefault="00BB69DB">
            <w:pPr>
              <w:keepNext/>
              <w:keepLines/>
              <w:jc w:val="right"/>
            </w:pPr>
            <w:r>
              <w:rPr>
                <w:sz w:val="18"/>
              </w:rPr>
              <w:t>2.749.908,57</w:t>
            </w:r>
          </w:p>
        </w:tc>
        <w:tc>
          <w:tcPr>
            <w:tcW w:w="1860" w:type="dxa"/>
            <w:tcMar>
              <w:top w:w="0" w:type="dxa"/>
              <w:bottom w:w="0" w:type="dxa"/>
            </w:tcMar>
            <w:vAlign w:val="center"/>
          </w:tcPr>
          <w:p w14:paraId="0252A1AF" w14:textId="77777777" w:rsidR="00BB69DB" w:rsidRDefault="00BB69DB">
            <w:pPr>
              <w:keepNext/>
              <w:keepLines/>
              <w:jc w:val="right"/>
            </w:pPr>
            <w:r>
              <w:rPr>
                <w:sz w:val="18"/>
              </w:rPr>
              <w:t>2.128.539,17</w:t>
            </w:r>
          </w:p>
        </w:tc>
        <w:tc>
          <w:tcPr>
            <w:tcW w:w="700" w:type="dxa"/>
            <w:tcMar>
              <w:top w:w="0" w:type="dxa"/>
              <w:bottom w:w="0" w:type="dxa"/>
            </w:tcMar>
            <w:vAlign w:val="center"/>
          </w:tcPr>
          <w:p w14:paraId="37116C60" w14:textId="77777777" w:rsidR="00BB69DB" w:rsidRDefault="00BB69DB">
            <w:pPr>
              <w:keepNext/>
              <w:keepLines/>
              <w:jc w:val="right"/>
            </w:pPr>
            <w:r>
              <w:rPr>
                <w:sz w:val="18"/>
              </w:rPr>
              <w:t>77,4</w:t>
            </w:r>
          </w:p>
        </w:tc>
      </w:tr>
    </w:tbl>
    <w:p w14:paraId="290653B2" w14:textId="77777777" w:rsidR="00BB69DB" w:rsidRDefault="00BB69DB" w:rsidP="00E161EF">
      <w:pPr>
        <w:jc w:val="both"/>
      </w:pPr>
    </w:p>
    <w:p w14:paraId="72C5A46F" w14:textId="77777777" w:rsidR="00BB69DB" w:rsidRDefault="00BB69DB" w:rsidP="00E161EF">
      <w:pPr>
        <w:jc w:val="both"/>
      </w:pPr>
      <w:r>
        <w:t>Isknjižena je vrijednost zemljišta u Zadru u iznosu od 250.880,69 EUR. Odgovor Odjela za katastar nekretnina Zadar na upit u vezi Rješenja iz 1987. godine sadrži kopiju Rješenja u kojem se navodi da je nekretnina koja je vezana uz Projekt šume LK u privatnom vlasništvu. Pregledom zemljišnih knjiga Općinskog suda u Zadru utvrđeno je da predmetne nekretnine nemaju poveznicu s vlasništvom Republike Hrvatske, te se isto ne vodi u evidenciji Središnjeg registra državne imovine. Temeljem svega navedenog Projekt šume LK je isknjižen iz knjige imovine Ministarstva mora, prometa i infrastrukture.</w:t>
      </w:r>
    </w:p>
    <w:p w14:paraId="23422F30" w14:textId="77777777" w:rsidR="00BB69DB" w:rsidRDefault="00BB69DB" w:rsidP="00E161EF">
      <w:pPr>
        <w:jc w:val="both"/>
      </w:pPr>
      <w:r>
        <w:t xml:space="preserve">Vrijednost </w:t>
      </w:r>
      <w:proofErr w:type="spellStart"/>
      <w:r>
        <w:t>neproizvedene</w:t>
      </w:r>
      <w:proofErr w:type="spellEnd"/>
      <w:r>
        <w:t xml:space="preserve"> dugotrajne imovine uvećana je za vrijednost nabavljenih licenci u iznosu od 498.433,62 EUR. U 2025. Nabavljene su Microsoft licence, licence za nadogradnju </w:t>
      </w:r>
      <w:proofErr w:type="spellStart"/>
      <w:r>
        <w:t>vatrozid</w:t>
      </w:r>
      <w:proofErr w:type="spellEnd"/>
      <w:r>
        <w:t xml:space="preserve"> sustava i licence za izradu ENC </w:t>
      </w:r>
      <w:proofErr w:type="spellStart"/>
      <w:r>
        <w:t>krata</w:t>
      </w:r>
      <w:proofErr w:type="spellEnd"/>
      <w:r>
        <w:t>.</w:t>
      </w:r>
    </w:p>
    <w:p w14:paraId="3D18F777" w14:textId="77777777" w:rsidR="00BB69DB" w:rsidRDefault="00BB69DB" w:rsidP="00E161EF">
      <w:pPr>
        <w:jc w:val="both"/>
      </w:pPr>
      <w:r>
        <w:t>Isknjižena je vrijednost projekta koji je doniran Gradu zagrebu temeljem Sporazuma o sufinanciranju radova uređenja parkirališta u iznosu od 22.287,50 EUR i  vrijednost projekta koji je rashodovan u iznosu od 4.811,20 EUR, a uvećana je vrijednost ostale nematerijalne imovine za 32.250,00 EUR za vrijednost izrade Akcijskog plana srednjoročnog razvitka vodnih putova, luka i pristaništa. </w:t>
      </w:r>
    </w:p>
    <w:p w14:paraId="01DA5E76" w14:textId="77777777" w:rsidR="00BB69DB" w:rsidRDefault="00BB69DB"/>
    <w:p w14:paraId="31667A42" w14:textId="77777777" w:rsidR="00BB69DB" w:rsidRDefault="00BB69DB">
      <w:pPr>
        <w:keepNext/>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69DB" w14:paraId="5F189723" w14:textId="77777777">
        <w:trPr>
          <w:cantSplit/>
        </w:trPr>
        <w:tc>
          <w:tcPr>
            <w:tcW w:w="700" w:type="dxa"/>
            <w:shd w:val="clear" w:color="auto" w:fill="E7F0F9"/>
            <w:tcMar>
              <w:top w:w="0" w:type="dxa"/>
              <w:bottom w:w="0" w:type="dxa"/>
            </w:tcMar>
            <w:vAlign w:val="center"/>
          </w:tcPr>
          <w:p w14:paraId="436D01F5" w14:textId="77777777" w:rsidR="00BB69DB" w:rsidRDefault="00BB69DB">
            <w:pPr>
              <w:keepNext/>
              <w:keepLines/>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7F0E587" w14:textId="77777777" w:rsidR="00BB69DB" w:rsidRDefault="00BB69DB">
            <w:pPr>
              <w:keepNext/>
              <w:keepLines/>
              <w:jc w:val="center"/>
            </w:pPr>
            <w:r>
              <w:rPr>
                <w:b/>
                <w:sz w:val="18"/>
              </w:rPr>
              <w:t>Opis stavke</w:t>
            </w:r>
          </w:p>
        </w:tc>
        <w:tc>
          <w:tcPr>
            <w:tcW w:w="700" w:type="dxa"/>
            <w:shd w:val="clear" w:color="auto" w:fill="E7F0F9"/>
            <w:tcMar>
              <w:top w:w="0" w:type="dxa"/>
              <w:bottom w:w="0" w:type="dxa"/>
            </w:tcMar>
            <w:vAlign w:val="center"/>
          </w:tcPr>
          <w:p w14:paraId="7FA2377E" w14:textId="77777777" w:rsidR="00BB69DB" w:rsidRDefault="00BB69DB">
            <w:pPr>
              <w:keepNext/>
              <w:keepLines/>
              <w:jc w:val="center"/>
            </w:pPr>
            <w:r>
              <w:rPr>
                <w:b/>
                <w:sz w:val="18"/>
              </w:rPr>
              <w:t>Šifra</w:t>
            </w:r>
          </w:p>
        </w:tc>
        <w:tc>
          <w:tcPr>
            <w:tcW w:w="1860" w:type="dxa"/>
            <w:shd w:val="clear" w:color="auto" w:fill="E7F0F9"/>
            <w:tcMar>
              <w:top w:w="0" w:type="dxa"/>
              <w:bottom w:w="0" w:type="dxa"/>
            </w:tcMar>
            <w:vAlign w:val="center"/>
          </w:tcPr>
          <w:p w14:paraId="0D37D99B" w14:textId="77777777" w:rsidR="00BB69DB" w:rsidRDefault="00BB69DB">
            <w:pPr>
              <w:keepNext/>
              <w:keepLines/>
              <w:jc w:val="center"/>
            </w:pPr>
            <w:r>
              <w:rPr>
                <w:b/>
                <w:sz w:val="18"/>
              </w:rPr>
              <w:t>Stanje 1. siječnja</w:t>
            </w:r>
          </w:p>
        </w:tc>
        <w:tc>
          <w:tcPr>
            <w:tcW w:w="1860" w:type="dxa"/>
            <w:shd w:val="clear" w:color="auto" w:fill="E7F0F9"/>
            <w:tcMar>
              <w:top w:w="0" w:type="dxa"/>
              <w:bottom w:w="0" w:type="dxa"/>
            </w:tcMar>
            <w:vAlign w:val="center"/>
          </w:tcPr>
          <w:p w14:paraId="32A3DA76" w14:textId="77777777" w:rsidR="00BB69DB" w:rsidRDefault="00BB69DB">
            <w:pPr>
              <w:keepNext/>
              <w:keepLines/>
              <w:jc w:val="center"/>
            </w:pPr>
            <w:r>
              <w:rPr>
                <w:b/>
                <w:sz w:val="18"/>
              </w:rPr>
              <w:t>Stanje 31. prosinca</w:t>
            </w:r>
          </w:p>
        </w:tc>
        <w:tc>
          <w:tcPr>
            <w:tcW w:w="700" w:type="dxa"/>
            <w:shd w:val="clear" w:color="auto" w:fill="E7F0F9"/>
            <w:tcMar>
              <w:top w:w="0" w:type="dxa"/>
              <w:bottom w:w="0" w:type="dxa"/>
            </w:tcMar>
            <w:vAlign w:val="center"/>
          </w:tcPr>
          <w:p w14:paraId="5300C1D3" w14:textId="77777777" w:rsidR="00BB69DB" w:rsidRDefault="00BB69DB">
            <w:pPr>
              <w:keepNext/>
              <w:keepLines/>
              <w:jc w:val="center"/>
            </w:pPr>
            <w:r>
              <w:rPr>
                <w:b/>
                <w:sz w:val="18"/>
              </w:rPr>
              <w:t>Indeks (%)</w:t>
            </w:r>
          </w:p>
        </w:tc>
      </w:tr>
      <w:tr w:rsidR="00BB69DB" w14:paraId="1D6F2F0D" w14:textId="77777777">
        <w:trPr>
          <w:cantSplit/>
          <w:trHeight w:val="560"/>
        </w:trPr>
        <w:tc>
          <w:tcPr>
            <w:tcW w:w="700" w:type="dxa"/>
            <w:tcMar>
              <w:top w:w="0" w:type="dxa"/>
              <w:bottom w:w="0" w:type="dxa"/>
            </w:tcMar>
            <w:vAlign w:val="center"/>
          </w:tcPr>
          <w:p w14:paraId="4D6B119A" w14:textId="77777777" w:rsidR="00BB69DB" w:rsidRDefault="00BB69DB">
            <w:pPr>
              <w:keepNext/>
              <w:keepLines/>
            </w:pPr>
            <w:r>
              <w:rPr>
                <w:sz w:val="18"/>
              </w:rPr>
              <w:t>02</w:t>
            </w:r>
          </w:p>
        </w:tc>
        <w:tc>
          <w:tcPr>
            <w:tcW w:w="3180" w:type="dxa"/>
            <w:tcMar>
              <w:top w:w="0" w:type="dxa"/>
              <w:bottom w:w="0" w:type="dxa"/>
            </w:tcMar>
            <w:vAlign w:val="center"/>
          </w:tcPr>
          <w:p w14:paraId="1F8F0C67" w14:textId="77777777" w:rsidR="00BB69DB" w:rsidRDefault="00BB69DB">
            <w:pPr>
              <w:keepNext/>
              <w:keepLines/>
            </w:pPr>
            <w:r>
              <w:rPr>
                <w:sz w:val="18"/>
              </w:rPr>
              <w:t>Proizvedena dugotrajna imovina (šifre '021 i 02921' + '022 i 02922' + '023 i 02923' + '024 i 02924' + '025 i 02925' + '026 i 02926')</w:t>
            </w:r>
          </w:p>
        </w:tc>
        <w:tc>
          <w:tcPr>
            <w:tcW w:w="700" w:type="dxa"/>
            <w:tcMar>
              <w:top w:w="0" w:type="dxa"/>
              <w:bottom w:w="0" w:type="dxa"/>
            </w:tcMar>
            <w:vAlign w:val="center"/>
          </w:tcPr>
          <w:p w14:paraId="4DDB7B85" w14:textId="77777777" w:rsidR="00BB69DB" w:rsidRDefault="00BB69DB">
            <w:pPr>
              <w:keepNext/>
              <w:keepLines/>
            </w:pPr>
            <w:r>
              <w:rPr>
                <w:sz w:val="18"/>
              </w:rPr>
              <w:t>02</w:t>
            </w:r>
          </w:p>
        </w:tc>
        <w:tc>
          <w:tcPr>
            <w:tcW w:w="1860" w:type="dxa"/>
            <w:tcMar>
              <w:top w:w="0" w:type="dxa"/>
              <w:bottom w:w="0" w:type="dxa"/>
            </w:tcMar>
            <w:vAlign w:val="center"/>
          </w:tcPr>
          <w:p w14:paraId="781E8EAE" w14:textId="77777777" w:rsidR="00BB69DB" w:rsidRDefault="00BB69DB">
            <w:pPr>
              <w:keepNext/>
              <w:keepLines/>
              <w:jc w:val="right"/>
            </w:pPr>
            <w:r>
              <w:rPr>
                <w:sz w:val="18"/>
              </w:rPr>
              <w:t>49.315.968,74</w:t>
            </w:r>
          </w:p>
        </w:tc>
        <w:tc>
          <w:tcPr>
            <w:tcW w:w="1860" w:type="dxa"/>
            <w:tcMar>
              <w:top w:w="0" w:type="dxa"/>
              <w:bottom w:w="0" w:type="dxa"/>
            </w:tcMar>
            <w:vAlign w:val="center"/>
          </w:tcPr>
          <w:p w14:paraId="4754A298" w14:textId="77777777" w:rsidR="00BB69DB" w:rsidRDefault="00BB69DB">
            <w:pPr>
              <w:keepNext/>
              <w:keepLines/>
              <w:jc w:val="right"/>
            </w:pPr>
            <w:r>
              <w:rPr>
                <w:sz w:val="18"/>
              </w:rPr>
              <w:t>61.160.397,03</w:t>
            </w:r>
          </w:p>
        </w:tc>
        <w:tc>
          <w:tcPr>
            <w:tcW w:w="700" w:type="dxa"/>
            <w:tcMar>
              <w:top w:w="0" w:type="dxa"/>
              <w:bottom w:w="0" w:type="dxa"/>
            </w:tcMar>
            <w:vAlign w:val="center"/>
          </w:tcPr>
          <w:p w14:paraId="14EE84F4" w14:textId="77777777" w:rsidR="00BB69DB" w:rsidRDefault="00BB69DB">
            <w:pPr>
              <w:keepNext/>
              <w:keepLines/>
              <w:jc w:val="right"/>
            </w:pPr>
            <w:r>
              <w:rPr>
                <w:sz w:val="18"/>
              </w:rPr>
              <w:t>124,0</w:t>
            </w:r>
          </w:p>
        </w:tc>
      </w:tr>
    </w:tbl>
    <w:p w14:paraId="4D6CD838" w14:textId="77777777" w:rsidR="00BB69DB" w:rsidRDefault="00BB69DB"/>
    <w:p w14:paraId="63AFB5A8" w14:textId="77777777" w:rsidR="00BB69DB" w:rsidRDefault="00BB69DB" w:rsidP="00E161EF">
      <w:pPr>
        <w:jc w:val="both"/>
      </w:pPr>
      <w:r>
        <w:t>Završeni su radovi na obnovi LI Poreč, radovi na izgradnji solarne elektrane na krovu Kockice i obnova NCC centra u Sisku te je vrijednost poslovnih objekata uvećana za 585.821,21 EUR.</w:t>
      </w:r>
    </w:p>
    <w:p w14:paraId="66D8DBA6" w14:textId="77777777" w:rsidR="00BB69DB" w:rsidRDefault="00BB69DB" w:rsidP="00E161EF">
      <w:pPr>
        <w:jc w:val="both"/>
      </w:pPr>
      <w:r>
        <w:t>Tijekom 2025. godine nabavljena je uredska oprema i namještaj u iznosu od 383.403,84 EUR. Temeljem Zapisnika o zbrinjavanju rashodovane imovine isknjiženo je 229.476,76 EUR.</w:t>
      </w:r>
    </w:p>
    <w:p w14:paraId="286F658B" w14:textId="77777777" w:rsidR="00BB69DB" w:rsidRDefault="00BB69DB" w:rsidP="00E161EF">
      <w:pPr>
        <w:jc w:val="both"/>
      </w:pPr>
      <w:r>
        <w:t>Komunikacijska oprema nabavljena je u vrijednosti od 1.215.676,02 EUR, na zbrinjavanje je dana zastarjela i neupotrebljiva komunikacijska oprema u iznosu od 27.716,23 EUR, a isknjižena je vrijednost komunikacijske opreme koja je bila ugrađena na brodice koje su donirane u iznosu od 20.758,18 EUR.</w:t>
      </w:r>
    </w:p>
    <w:p w14:paraId="54975119" w14:textId="77777777" w:rsidR="00BB69DB" w:rsidRDefault="00BB69DB" w:rsidP="00E161EF">
      <w:pPr>
        <w:jc w:val="both"/>
      </w:pPr>
      <w:r>
        <w:t>Oprema za održavanje i zaštitu, nabavljena je u iznosu od 31.935,18 EUR, a zbrinuta je oprema za održavanje i zaštitu koja više nije bila u upotrebi u iznosu od 4.040,33 EUR, a isknjižena je vrijednost opreme koja je bila ugrađena na brodice koje su donirane u iznosu od 2.644,00 EUR .</w:t>
      </w:r>
    </w:p>
    <w:p w14:paraId="4C0F107C" w14:textId="77777777" w:rsidR="00BB69DB" w:rsidRDefault="00BB69DB" w:rsidP="00E161EF">
      <w:pPr>
        <w:jc w:val="both"/>
      </w:pPr>
      <w:r>
        <w:t>Nabavljeni su mjerni i kontrolni uređaji u vrijednosti od 1.450,00 EUR, a isknjižena je vrijednost zbrinutih mjernih i kontrolnih uređaja koji više nisu u upotrebi u iznosu od 1.745,40 EUR.</w:t>
      </w:r>
    </w:p>
    <w:p w14:paraId="78F84E2B" w14:textId="77777777" w:rsidR="00BB69DB" w:rsidRDefault="00BB69DB" w:rsidP="00E161EF">
      <w:pPr>
        <w:jc w:val="both"/>
      </w:pPr>
      <w:r>
        <w:t>Uređaji, strojevi i oprema za ostale namjene nabavljeni su u iznosu od 1.816.639,15 EUR (od čega je najznačajnija vrijednost nabava radarskih sustava), zbrinuti su uređaji i oprema u iznosu od 67.729,18 EUR. Isknjižena je vrijednost opreme na brodicama koje su doniran u iznosu od 6.507,93 EUR i vrijednost uređaja temeljem Sporazuma o prijenosu osnovnih sredstava bez naknade MUP-u u iznosu od 10.937,50 EUR.</w:t>
      </w:r>
    </w:p>
    <w:p w14:paraId="68DBC1C1" w14:textId="77777777" w:rsidR="00BB69DB" w:rsidRDefault="00BB69DB" w:rsidP="00E161EF">
      <w:pPr>
        <w:jc w:val="both"/>
      </w:pPr>
      <w:r>
        <w:t xml:space="preserve">Ministarstvo je tijekom 2025. godine prodalo 7 vozila te je isknjižena vrijednost prodanih vozila u iznosu od 153.880,05 EUR, a nabavljeno je 12 vozila u vrijednosti 466.139,78 EUR. Završena </w:t>
      </w:r>
      <w:r>
        <w:lastRenderedPageBreak/>
        <w:t>je izgradnja  12 brodica u vrijednosti 12.619.840,55 EUR, prodano je 5 brodica, a 5 brodica je donirano.</w:t>
      </w:r>
    </w:p>
    <w:p w14:paraId="51A4E5F3" w14:textId="77777777" w:rsidR="00BB69DB" w:rsidRDefault="00BB69DB" w:rsidP="00E161EF">
      <w:pPr>
        <w:jc w:val="both"/>
      </w:pPr>
      <w:r>
        <w:t>U 2025. godini izvršena je nadogradnja računalnih aplikacija u iznosu od 771.212,50 EUR.</w:t>
      </w:r>
    </w:p>
    <w:p w14:paraId="3E167724" w14:textId="77777777" w:rsidR="00BB69DB" w:rsidRDefault="00BB69DB"/>
    <w:p w14:paraId="7EE56E13" w14:textId="77777777" w:rsidR="00BB69DB" w:rsidRDefault="00BB69DB">
      <w:pPr>
        <w:keepNext/>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69DB" w14:paraId="5835F8D5" w14:textId="77777777">
        <w:trPr>
          <w:cantSplit/>
        </w:trPr>
        <w:tc>
          <w:tcPr>
            <w:tcW w:w="700" w:type="dxa"/>
            <w:shd w:val="clear" w:color="auto" w:fill="E7F0F9"/>
            <w:tcMar>
              <w:top w:w="0" w:type="dxa"/>
              <w:bottom w:w="0" w:type="dxa"/>
            </w:tcMar>
            <w:vAlign w:val="center"/>
          </w:tcPr>
          <w:p w14:paraId="42BCD27A" w14:textId="77777777" w:rsidR="00BB69DB" w:rsidRDefault="00BB69DB">
            <w:pPr>
              <w:keepNext/>
              <w:keepLines/>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E36AA9" w14:textId="77777777" w:rsidR="00BB69DB" w:rsidRDefault="00BB69DB">
            <w:pPr>
              <w:keepNext/>
              <w:keepLines/>
              <w:jc w:val="center"/>
            </w:pPr>
            <w:r>
              <w:rPr>
                <w:b/>
                <w:sz w:val="18"/>
              </w:rPr>
              <w:t>Opis stavke</w:t>
            </w:r>
          </w:p>
        </w:tc>
        <w:tc>
          <w:tcPr>
            <w:tcW w:w="700" w:type="dxa"/>
            <w:shd w:val="clear" w:color="auto" w:fill="E7F0F9"/>
            <w:tcMar>
              <w:top w:w="0" w:type="dxa"/>
              <w:bottom w:w="0" w:type="dxa"/>
            </w:tcMar>
            <w:vAlign w:val="center"/>
          </w:tcPr>
          <w:p w14:paraId="0F7FB528" w14:textId="77777777" w:rsidR="00BB69DB" w:rsidRDefault="00BB69DB">
            <w:pPr>
              <w:keepNext/>
              <w:keepLines/>
              <w:jc w:val="center"/>
            </w:pPr>
            <w:r>
              <w:rPr>
                <w:b/>
                <w:sz w:val="18"/>
              </w:rPr>
              <w:t>Šifra</w:t>
            </w:r>
          </w:p>
        </w:tc>
        <w:tc>
          <w:tcPr>
            <w:tcW w:w="1860" w:type="dxa"/>
            <w:shd w:val="clear" w:color="auto" w:fill="E7F0F9"/>
            <w:tcMar>
              <w:top w:w="0" w:type="dxa"/>
              <w:bottom w:w="0" w:type="dxa"/>
            </w:tcMar>
            <w:vAlign w:val="center"/>
          </w:tcPr>
          <w:p w14:paraId="31557841" w14:textId="77777777" w:rsidR="00BB69DB" w:rsidRDefault="00BB69DB">
            <w:pPr>
              <w:keepNext/>
              <w:keepLines/>
              <w:jc w:val="center"/>
            </w:pPr>
            <w:r>
              <w:rPr>
                <w:b/>
                <w:sz w:val="18"/>
              </w:rPr>
              <w:t>Stanje 1. siječnja</w:t>
            </w:r>
          </w:p>
        </w:tc>
        <w:tc>
          <w:tcPr>
            <w:tcW w:w="1860" w:type="dxa"/>
            <w:shd w:val="clear" w:color="auto" w:fill="E7F0F9"/>
            <w:tcMar>
              <w:top w:w="0" w:type="dxa"/>
              <w:bottom w:w="0" w:type="dxa"/>
            </w:tcMar>
            <w:vAlign w:val="center"/>
          </w:tcPr>
          <w:p w14:paraId="36F31C59" w14:textId="77777777" w:rsidR="00BB69DB" w:rsidRDefault="00BB69DB">
            <w:pPr>
              <w:keepNext/>
              <w:keepLines/>
              <w:jc w:val="center"/>
            </w:pPr>
            <w:r>
              <w:rPr>
                <w:b/>
                <w:sz w:val="18"/>
              </w:rPr>
              <w:t>Stanje 31. prosinca</w:t>
            </w:r>
          </w:p>
        </w:tc>
        <w:tc>
          <w:tcPr>
            <w:tcW w:w="700" w:type="dxa"/>
            <w:shd w:val="clear" w:color="auto" w:fill="E7F0F9"/>
            <w:tcMar>
              <w:top w:w="0" w:type="dxa"/>
              <w:bottom w:w="0" w:type="dxa"/>
            </w:tcMar>
            <w:vAlign w:val="center"/>
          </w:tcPr>
          <w:p w14:paraId="279347CB" w14:textId="77777777" w:rsidR="00BB69DB" w:rsidRDefault="00BB69DB">
            <w:pPr>
              <w:keepNext/>
              <w:keepLines/>
              <w:jc w:val="center"/>
            </w:pPr>
            <w:r>
              <w:rPr>
                <w:b/>
                <w:sz w:val="18"/>
              </w:rPr>
              <w:t>Indeks (%)</w:t>
            </w:r>
          </w:p>
        </w:tc>
      </w:tr>
      <w:tr w:rsidR="00BB69DB" w14:paraId="2414B317" w14:textId="77777777">
        <w:trPr>
          <w:cantSplit/>
          <w:trHeight w:val="560"/>
        </w:trPr>
        <w:tc>
          <w:tcPr>
            <w:tcW w:w="700" w:type="dxa"/>
            <w:tcMar>
              <w:top w:w="0" w:type="dxa"/>
              <w:bottom w:w="0" w:type="dxa"/>
            </w:tcMar>
            <w:vAlign w:val="center"/>
          </w:tcPr>
          <w:p w14:paraId="2997E529" w14:textId="77777777" w:rsidR="00BB69DB" w:rsidRDefault="00BB69DB">
            <w:pPr>
              <w:keepNext/>
              <w:keepLines/>
            </w:pPr>
            <w:r>
              <w:rPr>
                <w:sz w:val="18"/>
              </w:rPr>
              <w:t>05</w:t>
            </w:r>
          </w:p>
        </w:tc>
        <w:tc>
          <w:tcPr>
            <w:tcW w:w="3180" w:type="dxa"/>
            <w:tcMar>
              <w:top w:w="0" w:type="dxa"/>
              <w:bottom w:w="0" w:type="dxa"/>
            </w:tcMar>
            <w:vAlign w:val="center"/>
          </w:tcPr>
          <w:p w14:paraId="433F314F" w14:textId="77777777" w:rsidR="00BB69DB" w:rsidRDefault="00BB69DB">
            <w:pPr>
              <w:keepNext/>
              <w:keepLines/>
            </w:pPr>
            <w:r>
              <w:rPr>
                <w:sz w:val="18"/>
              </w:rPr>
              <w:t>Dugotrajna nefinancijska imovina u pripremi (šifre 051 do 056)</w:t>
            </w:r>
          </w:p>
        </w:tc>
        <w:tc>
          <w:tcPr>
            <w:tcW w:w="700" w:type="dxa"/>
            <w:tcMar>
              <w:top w:w="0" w:type="dxa"/>
              <w:bottom w:w="0" w:type="dxa"/>
            </w:tcMar>
            <w:vAlign w:val="center"/>
          </w:tcPr>
          <w:p w14:paraId="6A536E40" w14:textId="77777777" w:rsidR="00BB69DB" w:rsidRDefault="00BB69DB">
            <w:pPr>
              <w:keepNext/>
              <w:keepLines/>
            </w:pPr>
            <w:r>
              <w:rPr>
                <w:sz w:val="18"/>
              </w:rPr>
              <w:t>05</w:t>
            </w:r>
          </w:p>
        </w:tc>
        <w:tc>
          <w:tcPr>
            <w:tcW w:w="1860" w:type="dxa"/>
            <w:tcMar>
              <w:top w:w="0" w:type="dxa"/>
              <w:bottom w:w="0" w:type="dxa"/>
            </w:tcMar>
            <w:vAlign w:val="center"/>
          </w:tcPr>
          <w:p w14:paraId="1DB98331" w14:textId="77777777" w:rsidR="00BB69DB" w:rsidRDefault="00BB69DB">
            <w:pPr>
              <w:keepNext/>
              <w:keepLines/>
              <w:jc w:val="right"/>
            </w:pPr>
            <w:r>
              <w:rPr>
                <w:sz w:val="18"/>
              </w:rPr>
              <w:t>3.973.221,53</w:t>
            </w:r>
          </w:p>
        </w:tc>
        <w:tc>
          <w:tcPr>
            <w:tcW w:w="1860" w:type="dxa"/>
            <w:tcMar>
              <w:top w:w="0" w:type="dxa"/>
              <w:bottom w:w="0" w:type="dxa"/>
            </w:tcMar>
            <w:vAlign w:val="center"/>
          </w:tcPr>
          <w:p w14:paraId="70EA9E87" w14:textId="77777777" w:rsidR="00BB69DB" w:rsidRDefault="00BB69DB">
            <w:pPr>
              <w:keepNext/>
              <w:keepLines/>
              <w:jc w:val="right"/>
            </w:pPr>
            <w:r>
              <w:rPr>
                <w:sz w:val="18"/>
              </w:rPr>
              <w:t>3.838.681,82</w:t>
            </w:r>
          </w:p>
        </w:tc>
        <w:tc>
          <w:tcPr>
            <w:tcW w:w="700" w:type="dxa"/>
            <w:tcMar>
              <w:top w:w="0" w:type="dxa"/>
              <w:bottom w:w="0" w:type="dxa"/>
            </w:tcMar>
            <w:vAlign w:val="center"/>
          </w:tcPr>
          <w:p w14:paraId="73D095EE" w14:textId="77777777" w:rsidR="00BB69DB" w:rsidRDefault="00BB69DB">
            <w:pPr>
              <w:keepNext/>
              <w:keepLines/>
              <w:jc w:val="right"/>
            </w:pPr>
            <w:r>
              <w:rPr>
                <w:sz w:val="18"/>
              </w:rPr>
              <w:t>96,6</w:t>
            </w:r>
          </w:p>
        </w:tc>
      </w:tr>
    </w:tbl>
    <w:p w14:paraId="492734EC" w14:textId="77777777" w:rsidR="00BB69DB" w:rsidRDefault="00BB69DB"/>
    <w:p w14:paraId="00262B16" w14:textId="77777777" w:rsidR="00BB69DB" w:rsidRDefault="00BB69DB" w:rsidP="00E161EF">
      <w:pPr>
        <w:jc w:val="both"/>
      </w:pPr>
      <w:r>
        <w:t>Nefinancijska imovina u pripremi 31.12.2025.:</w:t>
      </w:r>
    </w:p>
    <w:p w14:paraId="534FAD4E" w14:textId="77777777" w:rsidR="00BB69DB" w:rsidRDefault="00BB69DB" w:rsidP="00E161EF">
      <w:pPr>
        <w:tabs>
          <w:tab w:val="right" w:pos="426"/>
          <w:tab w:val="left" w:pos="567"/>
          <w:tab w:val="right" w:pos="8931"/>
        </w:tabs>
        <w:jc w:val="both"/>
      </w:pPr>
      <w:r>
        <w:tab/>
        <w:t>1.</w:t>
      </w:r>
      <w:r>
        <w:tab/>
        <w:t>Komisija za ocjenu utjecaja zahvata na okoliš VKDS</w:t>
      </w:r>
      <w:r>
        <w:tab/>
        <w:t>3.318,10</w:t>
      </w:r>
    </w:p>
    <w:p w14:paraId="32B859A9" w14:textId="77777777" w:rsidR="00BB69DB" w:rsidRDefault="00BB69DB" w:rsidP="00E161EF">
      <w:pPr>
        <w:tabs>
          <w:tab w:val="right" w:pos="426"/>
          <w:tab w:val="left" w:pos="567"/>
          <w:tab w:val="right" w:pos="8931"/>
        </w:tabs>
        <w:jc w:val="both"/>
      </w:pPr>
      <w:r>
        <w:tab/>
        <w:t>2.</w:t>
      </w:r>
      <w:r>
        <w:tab/>
        <w:t>Više namjenski kanal Dunav Sava ( VKDS )</w:t>
      </w:r>
      <w:r>
        <w:tab/>
        <w:t>3.664.146,02</w:t>
      </w:r>
    </w:p>
    <w:p w14:paraId="655485D4" w14:textId="77777777" w:rsidR="00BB69DB" w:rsidRDefault="00BB69DB" w:rsidP="00E161EF">
      <w:pPr>
        <w:tabs>
          <w:tab w:val="right" w:pos="426"/>
          <w:tab w:val="left" w:pos="567"/>
          <w:tab w:val="right" w:pos="8931"/>
        </w:tabs>
        <w:jc w:val="both"/>
      </w:pPr>
      <w:r>
        <w:tab/>
        <w:t>3.</w:t>
      </w:r>
      <w:r>
        <w:tab/>
        <w:t>Izrada projektne dok. za promociju zelene plovidbe na Savi u Zagrebu</w:t>
      </w:r>
      <w:r>
        <w:tab/>
        <w:t>29.729,91</w:t>
      </w:r>
    </w:p>
    <w:p w14:paraId="769F0342" w14:textId="77777777" w:rsidR="00BB69DB" w:rsidRDefault="00BB69DB" w:rsidP="00E161EF">
      <w:pPr>
        <w:tabs>
          <w:tab w:val="right" w:pos="426"/>
          <w:tab w:val="left" w:pos="567"/>
          <w:tab w:val="right" w:pos="8931"/>
        </w:tabs>
        <w:jc w:val="both"/>
      </w:pPr>
      <w:r>
        <w:tab/>
        <w:t>4.</w:t>
      </w:r>
      <w:r>
        <w:tab/>
        <w:t>Izrada studijsko - projektne dok. za uređenje plovnog puta i pristaništa</w:t>
      </w:r>
      <w:r>
        <w:br/>
      </w:r>
      <w:r>
        <w:tab/>
      </w:r>
      <w:r>
        <w:tab/>
        <w:t>za brodove na rijeci Kupi - II. Faza</w:t>
      </w:r>
      <w:r>
        <w:tab/>
        <w:t>133.875,00</w:t>
      </w:r>
    </w:p>
    <w:p w14:paraId="4D4CF4BC" w14:textId="77777777" w:rsidR="00BB69DB" w:rsidRDefault="00BB69DB" w:rsidP="00E161EF">
      <w:pPr>
        <w:tabs>
          <w:tab w:val="right" w:pos="426"/>
          <w:tab w:val="left" w:pos="567"/>
          <w:tab w:val="right" w:pos="8931"/>
        </w:tabs>
        <w:jc w:val="both"/>
      </w:pPr>
      <w:r>
        <w:tab/>
        <w:t>5.</w:t>
      </w:r>
      <w:r>
        <w:tab/>
        <w:t>Obnova zgrade Lučke kapetanije Senj</w:t>
      </w:r>
      <w:r>
        <w:tab/>
        <w:t>7.612,79</w:t>
      </w:r>
    </w:p>
    <w:p w14:paraId="1C55B095" w14:textId="77777777" w:rsidR="00BB69DB" w:rsidRPr="00D97A7C" w:rsidRDefault="00BB69DB" w:rsidP="00E161EF">
      <w:pPr>
        <w:tabs>
          <w:tab w:val="right" w:pos="284"/>
          <w:tab w:val="left" w:pos="567"/>
          <w:tab w:val="right" w:pos="8931"/>
        </w:tabs>
        <w:jc w:val="both"/>
        <w:rPr>
          <w:b/>
        </w:rPr>
      </w:pPr>
      <w:r w:rsidRPr="00D97A7C">
        <w:rPr>
          <w:b/>
        </w:rPr>
        <w:tab/>
        <w:t>UKUPNO:</w:t>
      </w:r>
      <w:r w:rsidRPr="00D97A7C">
        <w:rPr>
          <w:b/>
        </w:rPr>
        <w:tab/>
        <w:t>3.838.681,82</w:t>
      </w:r>
    </w:p>
    <w:p w14:paraId="1E640744" w14:textId="77777777" w:rsidR="00BB69DB" w:rsidRDefault="00BB69DB"/>
    <w:p w14:paraId="7E778BF3" w14:textId="77777777" w:rsidR="00BB69DB" w:rsidRDefault="00BB69DB">
      <w:pPr>
        <w:keepNext/>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69DB" w14:paraId="325B6677" w14:textId="77777777">
        <w:trPr>
          <w:cantSplit/>
        </w:trPr>
        <w:tc>
          <w:tcPr>
            <w:tcW w:w="700" w:type="dxa"/>
            <w:shd w:val="clear" w:color="auto" w:fill="E7F0F9"/>
            <w:tcMar>
              <w:top w:w="0" w:type="dxa"/>
              <w:bottom w:w="0" w:type="dxa"/>
            </w:tcMar>
            <w:vAlign w:val="center"/>
          </w:tcPr>
          <w:p w14:paraId="4B40D7B9" w14:textId="77777777" w:rsidR="00BB69DB" w:rsidRDefault="00BB69DB">
            <w:pPr>
              <w:keepNext/>
              <w:keepLines/>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A0A429" w14:textId="77777777" w:rsidR="00BB69DB" w:rsidRDefault="00BB69DB">
            <w:pPr>
              <w:keepNext/>
              <w:keepLines/>
              <w:jc w:val="center"/>
            </w:pPr>
            <w:r>
              <w:rPr>
                <w:b/>
                <w:sz w:val="18"/>
              </w:rPr>
              <w:t>Opis stavke</w:t>
            </w:r>
          </w:p>
        </w:tc>
        <w:tc>
          <w:tcPr>
            <w:tcW w:w="700" w:type="dxa"/>
            <w:shd w:val="clear" w:color="auto" w:fill="E7F0F9"/>
            <w:tcMar>
              <w:top w:w="0" w:type="dxa"/>
              <w:bottom w:w="0" w:type="dxa"/>
            </w:tcMar>
            <w:vAlign w:val="center"/>
          </w:tcPr>
          <w:p w14:paraId="5AC6651A" w14:textId="77777777" w:rsidR="00BB69DB" w:rsidRDefault="00BB69DB">
            <w:pPr>
              <w:keepNext/>
              <w:keepLines/>
              <w:jc w:val="center"/>
            </w:pPr>
            <w:r>
              <w:rPr>
                <w:b/>
                <w:sz w:val="18"/>
              </w:rPr>
              <w:t>Šifra</w:t>
            </w:r>
          </w:p>
        </w:tc>
        <w:tc>
          <w:tcPr>
            <w:tcW w:w="1860" w:type="dxa"/>
            <w:shd w:val="clear" w:color="auto" w:fill="E7F0F9"/>
            <w:tcMar>
              <w:top w:w="0" w:type="dxa"/>
              <w:bottom w:w="0" w:type="dxa"/>
            </w:tcMar>
            <w:vAlign w:val="center"/>
          </w:tcPr>
          <w:p w14:paraId="082176BB" w14:textId="77777777" w:rsidR="00BB69DB" w:rsidRDefault="00BB69DB">
            <w:pPr>
              <w:keepNext/>
              <w:keepLines/>
              <w:jc w:val="center"/>
            </w:pPr>
            <w:r>
              <w:rPr>
                <w:b/>
                <w:sz w:val="18"/>
              </w:rPr>
              <w:t>Stanje 1. siječnja</w:t>
            </w:r>
          </w:p>
        </w:tc>
        <w:tc>
          <w:tcPr>
            <w:tcW w:w="1860" w:type="dxa"/>
            <w:shd w:val="clear" w:color="auto" w:fill="E7F0F9"/>
            <w:tcMar>
              <w:top w:w="0" w:type="dxa"/>
              <w:bottom w:w="0" w:type="dxa"/>
            </w:tcMar>
            <w:vAlign w:val="center"/>
          </w:tcPr>
          <w:p w14:paraId="06D4A713" w14:textId="77777777" w:rsidR="00BB69DB" w:rsidRDefault="00BB69DB">
            <w:pPr>
              <w:keepNext/>
              <w:keepLines/>
              <w:jc w:val="center"/>
            </w:pPr>
            <w:r>
              <w:rPr>
                <w:b/>
                <w:sz w:val="18"/>
              </w:rPr>
              <w:t>Stanje 31. prosinca</w:t>
            </w:r>
          </w:p>
        </w:tc>
        <w:tc>
          <w:tcPr>
            <w:tcW w:w="700" w:type="dxa"/>
            <w:shd w:val="clear" w:color="auto" w:fill="E7F0F9"/>
            <w:tcMar>
              <w:top w:w="0" w:type="dxa"/>
              <w:bottom w:w="0" w:type="dxa"/>
            </w:tcMar>
            <w:vAlign w:val="center"/>
          </w:tcPr>
          <w:p w14:paraId="271A2DCA" w14:textId="77777777" w:rsidR="00BB69DB" w:rsidRDefault="00BB69DB">
            <w:pPr>
              <w:keepNext/>
              <w:keepLines/>
              <w:jc w:val="center"/>
            </w:pPr>
            <w:r>
              <w:rPr>
                <w:b/>
                <w:sz w:val="18"/>
              </w:rPr>
              <w:t>Indeks (%)</w:t>
            </w:r>
          </w:p>
        </w:tc>
      </w:tr>
      <w:tr w:rsidR="00BB69DB" w14:paraId="52145E16" w14:textId="77777777">
        <w:trPr>
          <w:cantSplit/>
          <w:trHeight w:val="560"/>
        </w:trPr>
        <w:tc>
          <w:tcPr>
            <w:tcW w:w="700" w:type="dxa"/>
            <w:tcMar>
              <w:top w:w="0" w:type="dxa"/>
              <w:bottom w:w="0" w:type="dxa"/>
            </w:tcMar>
            <w:vAlign w:val="center"/>
          </w:tcPr>
          <w:p w14:paraId="7776B307" w14:textId="77777777" w:rsidR="00BB69DB" w:rsidRDefault="00BB69DB">
            <w:pPr>
              <w:keepNext/>
              <w:keepLines/>
            </w:pPr>
            <w:r>
              <w:rPr>
                <w:sz w:val="18"/>
              </w:rPr>
              <w:t>11</w:t>
            </w:r>
          </w:p>
        </w:tc>
        <w:tc>
          <w:tcPr>
            <w:tcW w:w="3180" w:type="dxa"/>
            <w:tcMar>
              <w:top w:w="0" w:type="dxa"/>
              <w:bottom w:w="0" w:type="dxa"/>
            </w:tcMar>
            <w:vAlign w:val="center"/>
          </w:tcPr>
          <w:p w14:paraId="1FBEFE8B" w14:textId="77777777" w:rsidR="00BB69DB" w:rsidRDefault="00BB69DB">
            <w:pPr>
              <w:keepNext/>
              <w:keepLines/>
            </w:pPr>
            <w:r>
              <w:rPr>
                <w:sz w:val="18"/>
              </w:rPr>
              <w:t>Novac u banci i blagajni (šifre 111+112 do 114)</w:t>
            </w:r>
          </w:p>
        </w:tc>
        <w:tc>
          <w:tcPr>
            <w:tcW w:w="700" w:type="dxa"/>
            <w:tcMar>
              <w:top w:w="0" w:type="dxa"/>
              <w:bottom w:w="0" w:type="dxa"/>
            </w:tcMar>
            <w:vAlign w:val="center"/>
          </w:tcPr>
          <w:p w14:paraId="7D37DCA8" w14:textId="77777777" w:rsidR="00BB69DB" w:rsidRDefault="00BB69DB">
            <w:pPr>
              <w:keepNext/>
              <w:keepLines/>
            </w:pPr>
            <w:r>
              <w:rPr>
                <w:sz w:val="18"/>
              </w:rPr>
              <w:t>11</w:t>
            </w:r>
          </w:p>
        </w:tc>
        <w:tc>
          <w:tcPr>
            <w:tcW w:w="1860" w:type="dxa"/>
            <w:tcMar>
              <w:top w:w="0" w:type="dxa"/>
              <w:bottom w:w="0" w:type="dxa"/>
            </w:tcMar>
            <w:vAlign w:val="center"/>
          </w:tcPr>
          <w:p w14:paraId="631901C7" w14:textId="77777777" w:rsidR="00BB69DB" w:rsidRDefault="00BB69DB">
            <w:pPr>
              <w:keepNext/>
              <w:keepLines/>
              <w:jc w:val="right"/>
            </w:pPr>
            <w:r>
              <w:rPr>
                <w:sz w:val="18"/>
              </w:rPr>
              <w:t>90,00</w:t>
            </w:r>
          </w:p>
        </w:tc>
        <w:tc>
          <w:tcPr>
            <w:tcW w:w="1860" w:type="dxa"/>
            <w:tcMar>
              <w:top w:w="0" w:type="dxa"/>
              <w:bottom w:w="0" w:type="dxa"/>
            </w:tcMar>
            <w:vAlign w:val="center"/>
          </w:tcPr>
          <w:p w14:paraId="51662D19" w14:textId="77777777" w:rsidR="00BB69DB" w:rsidRDefault="00BB69DB">
            <w:pPr>
              <w:keepNext/>
              <w:keepLines/>
              <w:jc w:val="right"/>
            </w:pPr>
            <w:r>
              <w:rPr>
                <w:sz w:val="18"/>
              </w:rPr>
              <w:t>0,00</w:t>
            </w:r>
          </w:p>
        </w:tc>
        <w:tc>
          <w:tcPr>
            <w:tcW w:w="700" w:type="dxa"/>
            <w:tcMar>
              <w:top w:w="0" w:type="dxa"/>
              <w:bottom w:w="0" w:type="dxa"/>
            </w:tcMar>
            <w:vAlign w:val="center"/>
          </w:tcPr>
          <w:p w14:paraId="57DCF0F2" w14:textId="77777777" w:rsidR="00BB69DB" w:rsidRDefault="00BB69DB">
            <w:pPr>
              <w:keepNext/>
              <w:keepLines/>
              <w:jc w:val="right"/>
            </w:pPr>
            <w:r>
              <w:rPr>
                <w:sz w:val="18"/>
              </w:rPr>
              <w:t>0</w:t>
            </w:r>
          </w:p>
        </w:tc>
      </w:tr>
    </w:tbl>
    <w:p w14:paraId="726A5A97" w14:textId="77777777" w:rsidR="00BB69DB" w:rsidRDefault="00BB69DB"/>
    <w:p w14:paraId="75224292" w14:textId="77777777" w:rsidR="00BB69DB" w:rsidRDefault="00BB69DB" w:rsidP="00E161EF">
      <w:pPr>
        <w:jc w:val="both"/>
      </w:pPr>
      <w:r>
        <w:t>Sva plaćanja Ministarstvo obavlja putem Sustava državne riznice i nema otvorene račune za posebne namjene. Sva preostala sredstva u blagajnama na dan 31. 12. 2025. vraćena su u Državni proračun.</w:t>
      </w:r>
    </w:p>
    <w:p w14:paraId="3E60D4A6" w14:textId="77777777" w:rsidR="00BB69DB" w:rsidRDefault="00BB69DB"/>
    <w:p w14:paraId="23CAB6A7" w14:textId="77777777" w:rsidR="00BB69DB" w:rsidRDefault="00BB69DB">
      <w:pPr>
        <w:keepNext/>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69DB" w14:paraId="079FA522" w14:textId="77777777">
        <w:trPr>
          <w:cantSplit/>
        </w:trPr>
        <w:tc>
          <w:tcPr>
            <w:tcW w:w="700" w:type="dxa"/>
            <w:shd w:val="clear" w:color="auto" w:fill="E7F0F9"/>
            <w:tcMar>
              <w:top w:w="0" w:type="dxa"/>
              <w:bottom w:w="0" w:type="dxa"/>
            </w:tcMar>
            <w:vAlign w:val="center"/>
          </w:tcPr>
          <w:p w14:paraId="32CDF00C" w14:textId="77777777" w:rsidR="00BB69DB" w:rsidRDefault="00BB69DB">
            <w:pPr>
              <w:keepNext/>
              <w:keepLines/>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17ECBDC" w14:textId="77777777" w:rsidR="00BB69DB" w:rsidRDefault="00BB69DB">
            <w:pPr>
              <w:keepNext/>
              <w:keepLines/>
              <w:jc w:val="center"/>
            </w:pPr>
            <w:r>
              <w:rPr>
                <w:b/>
                <w:sz w:val="18"/>
              </w:rPr>
              <w:t>Opis stavke</w:t>
            </w:r>
          </w:p>
        </w:tc>
        <w:tc>
          <w:tcPr>
            <w:tcW w:w="700" w:type="dxa"/>
            <w:shd w:val="clear" w:color="auto" w:fill="E7F0F9"/>
            <w:tcMar>
              <w:top w:w="0" w:type="dxa"/>
              <w:bottom w:w="0" w:type="dxa"/>
            </w:tcMar>
            <w:vAlign w:val="center"/>
          </w:tcPr>
          <w:p w14:paraId="185F860D" w14:textId="77777777" w:rsidR="00BB69DB" w:rsidRDefault="00BB69DB">
            <w:pPr>
              <w:keepNext/>
              <w:keepLines/>
              <w:jc w:val="center"/>
            </w:pPr>
            <w:r>
              <w:rPr>
                <w:b/>
                <w:sz w:val="18"/>
              </w:rPr>
              <w:t>Šifra</w:t>
            </w:r>
          </w:p>
        </w:tc>
        <w:tc>
          <w:tcPr>
            <w:tcW w:w="1860" w:type="dxa"/>
            <w:shd w:val="clear" w:color="auto" w:fill="E7F0F9"/>
            <w:tcMar>
              <w:top w:w="0" w:type="dxa"/>
              <w:bottom w:w="0" w:type="dxa"/>
            </w:tcMar>
            <w:vAlign w:val="center"/>
          </w:tcPr>
          <w:p w14:paraId="23A64D02" w14:textId="77777777" w:rsidR="00BB69DB" w:rsidRDefault="00BB69DB">
            <w:pPr>
              <w:keepNext/>
              <w:keepLines/>
              <w:jc w:val="center"/>
            </w:pPr>
            <w:r>
              <w:rPr>
                <w:b/>
                <w:sz w:val="18"/>
              </w:rPr>
              <w:t>Stanje 1. siječnja</w:t>
            </w:r>
          </w:p>
        </w:tc>
        <w:tc>
          <w:tcPr>
            <w:tcW w:w="1860" w:type="dxa"/>
            <w:shd w:val="clear" w:color="auto" w:fill="E7F0F9"/>
            <w:tcMar>
              <w:top w:w="0" w:type="dxa"/>
              <w:bottom w:w="0" w:type="dxa"/>
            </w:tcMar>
            <w:vAlign w:val="center"/>
          </w:tcPr>
          <w:p w14:paraId="3DE5069D" w14:textId="77777777" w:rsidR="00BB69DB" w:rsidRDefault="00BB69DB">
            <w:pPr>
              <w:keepNext/>
              <w:keepLines/>
              <w:jc w:val="center"/>
            </w:pPr>
            <w:r>
              <w:rPr>
                <w:b/>
                <w:sz w:val="18"/>
              </w:rPr>
              <w:t>Stanje 31. prosinca</w:t>
            </w:r>
          </w:p>
        </w:tc>
        <w:tc>
          <w:tcPr>
            <w:tcW w:w="700" w:type="dxa"/>
            <w:shd w:val="clear" w:color="auto" w:fill="E7F0F9"/>
            <w:tcMar>
              <w:top w:w="0" w:type="dxa"/>
              <w:bottom w:w="0" w:type="dxa"/>
            </w:tcMar>
            <w:vAlign w:val="center"/>
          </w:tcPr>
          <w:p w14:paraId="163B9A6A" w14:textId="77777777" w:rsidR="00BB69DB" w:rsidRDefault="00BB69DB">
            <w:pPr>
              <w:keepNext/>
              <w:keepLines/>
              <w:jc w:val="center"/>
            </w:pPr>
            <w:r>
              <w:rPr>
                <w:b/>
                <w:sz w:val="18"/>
              </w:rPr>
              <w:t>Indeks (%)</w:t>
            </w:r>
          </w:p>
        </w:tc>
      </w:tr>
      <w:tr w:rsidR="00BB69DB" w14:paraId="1DCEDC2B" w14:textId="77777777">
        <w:trPr>
          <w:cantSplit/>
          <w:trHeight w:val="560"/>
        </w:trPr>
        <w:tc>
          <w:tcPr>
            <w:tcW w:w="700" w:type="dxa"/>
            <w:tcMar>
              <w:top w:w="0" w:type="dxa"/>
              <w:bottom w:w="0" w:type="dxa"/>
            </w:tcMar>
            <w:vAlign w:val="center"/>
          </w:tcPr>
          <w:p w14:paraId="128ECDEA" w14:textId="77777777" w:rsidR="00BB69DB" w:rsidRDefault="00BB69DB">
            <w:pPr>
              <w:keepNext/>
              <w:keepLines/>
            </w:pPr>
            <w:r>
              <w:rPr>
                <w:sz w:val="18"/>
              </w:rPr>
              <w:t>12</w:t>
            </w:r>
          </w:p>
        </w:tc>
        <w:tc>
          <w:tcPr>
            <w:tcW w:w="3180" w:type="dxa"/>
            <w:tcMar>
              <w:top w:w="0" w:type="dxa"/>
              <w:bottom w:w="0" w:type="dxa"/>
            </w:tcMar>
            <w:vAlign w:val="center"/>
          </w:tcPr>
          <w:p w14:paraId="0B7E4534" w14:textId="77777777" w:rsidR="00BB69DB" w:rsidRDefault="00BB69DB">
            <w:pPr>
              <w:keepNext/>
              <w:keepLines/>
            </w:pPr>
            <w:r>
              <w:rPr>
                <w:sz w:val="18"/>
              </w:rPr>
              <w:t xml:space="preserve">Potraživanja za </w:t>
            </w:r>
            <w:proofErr w:type="spellStart"/>
            <w:r>
              <w:rPr>
                <w:sz w:val="18"/>
              </w:rPr>
              <w:t>jamčevne</w:t>
            </w:r>
            <w:proofErr w:type="spellEnd"/>
            <w:r>
              <w:rPr>
                <w:sz w:val="18"/>
              </w:rPr>
              <w:t xml:space="preserve"> </w:t>
            </w:r>
            <w:proofErr w:type="spellStart"/>
            <w:r>
              <w:rPr>
                <w:sz w:val="18"/>
              </w:rPr>
              <w:t>pologe</w:t>
            </w:r>
            <w:proofErr w:type="spellEnd"/>
            <w:r>
              <w:rPr>
                <w:sz w:val="18"/>
              </w:rPr>
              <w:t>, od zaposlenih te za više plaćene poreze i ostalo (šifre 122 do 124 - 125 + 129)</w:t>
            </w:r>
          </w:p>
        </w:tc>
        <w:tc>
          <w:tcPr>
            <w:tcW w:w="700" w:type="dxa"/>
            <w:tcMar>
              <w:top w:w="0" w:type="dxa"/>
              <w:bottom w:w="0" w:type="dxa"/>
            </w:tcMar>
            <w:vAlign w:val="center"/>
          </w:tcPr>
          <w:p w14:paraId="0631A267" w14:textId="77777777" w:rsidR="00BB69DB" w:rsidRDefault="00BB69DB">
            <w:pPr>
              <w:keepNext/>
              <w:keepLines/>
            </w:pPr>
            <w:r>
              <w:rPr>
                <w:sz w:val="18"/>
              </w:rPr>
              <w:t>12</w:t>
            </w:r>
          </w:p>
        </w:tc>
        <w:tc>
          <w:tcPr>
            <w:tcW w:w="1860" w:type="dxa"/>
            <w:tcMar>
              <w:top w:w="0" w:type="dxa"/>
              <w:bottom w:w="0" w:type="dxa"/>
            </w:tcMar>
            <w:vAlign w:val="center"/>
          </w:tcPr>
          <w:p w14:paraId="392FF9F9" w14:textId="77777777" w:rsidR="00BB69DB" w:rsidRDefault="00BB69DB">
            <w:pPr>
              <w:keepNext/>
              <w:keepLines/>
              <w:jc w:val="right"/>
            </w:pPr>
            <w:r>
              <w:rPr>
                <w:sz w:val="18"/>
              </w:rPr>
              <w:t>20.877.899,35</w:t>
            </w:r>
          </w:p>
        </w:tc>
        <w:tc>
          <w:tcPr>
            <w:tcW w:w="1860" w:type="dxa"/>
            <w:tcMar>
              <w:top w:w="0" w:type="dxa"/>
              <w:bottom w:w="0" w:type="dxa"/>
            </w:tcMar>
            <w:vAlign w:val="center"/>
          </w:tcPr>
          <w:p w14:paraId="009593E9" w14:textId="77777777" w:rsidR="00BB69DB" w:rsidRDefault="00BB69DB">
            <w:pPr>
              <w:keepNext/>
              <w:keepLines/>
              <w:jc w:val="right"/>
            </w:pPr>
            <w:r>
              <w:rPr>
                <w:sz w:val="18"/>
              </w:rPr>
              <w:t>128.811.862,79</w:t>
            </w:r>
          </w:p>
        </w:tc>
        <w:tc>
          <w:tcPr>
            <w:tcW w:w="700" w:type="dxa"/>
            <w:tcMar>
              <w:top w:w="0" w:type="dxa"/>
              <w:bottom w:w="0" w:type="dxa"/>
            </w:tcMar>
            <w:vAlign w:val="center"/>
          </w:tcPr>
          <w:p w14:paraId="05580BF1" w14:textId="77777777" w:rsidR="00BB69DB" w:rsidRDefault="00BB69DB">
            <w:pPr>
              <w:keepNext/>
              <w:keepLines/>
              <w:jc w:val="right"/>
            </w:pPr>
            <w:r>
              <w:rPr>
                <w:sz w:val="18"/>
              </w:rPr>
              <w:t>617,0</w:t>
            </w:r>
          </w:p>
        </w:tc>
      </w:tr>
    </w:tbl>
    <w:p w14:paraId="23E124C3" w14:textId="77777777" w:rsidR="00BB69DB" w:rsidRDefault="00BB69DB"/>
    <w:p w14:paraId="0F4C1DCE" w14:textId="77777777" w:rsidR="00BB69DB" w:rsidRDefault="00BB69DB" w:rsidP="00E161EF">
      <w:pPr>
        <w:jc w:val="both"/>
      </w:pPr>
      <w:r>
        <w:t xml:space="preserve">Depoziti, </w:t>
      </w:r>
      <w:proofErr w:type="spellStart"/>
      <w:r>
        <w:t>jamčevni</w:t>
      </w:r>
      <w:proofErr w:type="spellEnd"/>
      <w:r>
        <w:t xml:space="preserve"> </w:t>
      </w:r>
      <w:proofErr w:type="spellStart"/>
      <w:r>
        <w:t>polozi</w:t>
      </w:r>
      <w:proofErr w:type="spellEnd"/>
      <w:r>
        <w:t xml:space="preserve"> i potraživanja od zaposlenih te za više plaćene poreze i ostalo na dan 31.12.2025.:</w:t>
      </w:r>
    </w:p>
    <w:p w14:paraId="76201234" w14:textId="77777777" w:rsidR="00BB69DB" w:rsidRDefault="00BB69DB" w:rsidP="00E161EF">
      <w:pPr>
        <w:tabs>
          <w:tab w:val="right" w:pos="8931"/>
        </w:tabs>
        <w:ind w:firstLine="284"/>
        <w:jc w:val="both"/>
      </w:pPr>
      <w:r>
        <w:t>Ostala potraživanja od zaposlenih</w:t>
      </w:r>
      <w:r>
        <w:tab/>
        <w:t>3.809,65</w:t>
      </w:r>
    </w:p>
    <w:p w14:paraId="47675D73" w14:textId="77777777" w:rsidR="00BB69DB" w:rsidRDefault="00BB69DB" w:rsidP="00E161EF">
      <w:pPr>
        <w:tabs>
          <w:tab w:val="right" w:pos="8931"/>
        </w:tabs>
        <w:ind w:firstLine="284"/>
        <w:jc w:val="both"/>
      </w:pPr>
      <w:r>
        <w:t xml:space="preserve">Potraživ. od HZZO-a za </w:t>
      </w:r>
      <w:proofErr w:type="spellStart"/>
      <w:r>
        <w:t>ispl</w:t>
      </w:r>
      <w:proofErr w:type="spellEnd"/>
      <w:r>
        <w:t>. bolovanja preko 42 dana i ozljede na radu</w:t>
      </w:r>
      <w:r>
        <w:tab/>
        <w:t>38.520,27</w:t>
      </w:r>
    </w:p>
    <w:p w14:paraId="6378CD15" w14:textId="77777777" w:rsidR="00BB69DB" w:rsidRDefault="00BB69DB" w:rsidP="00E161EF">
      <w:pPr>
        <w:tabs>
          <w:tab w:val="right" w:pos="8931"/>
        </w:tabs>
        <w:ind w:firstLine="284"/>
        <w:jc w:val="both"/>
      </w:pPr>
      <w:r>
        <w:t>Potraživanja za isplaćene rashode koji se refundiraju</w:t>
      </w:r>
      <w:r>
        <w:tab/>
        <w:t>2.157,17</w:t>
      </w:r>
    </w:p>
    <w:p w14:paraId="2C608356" w14:textId="77777777" w:rsidR="00BB69DB" w:rsidRDefault="00BB69DB" w:rsidP="00E161EF">
      <w:pPr>
        <w:tabs>
          <w:tab w:val="right" w:pos="8931"/>
        </w:tabs>
        <w:ind w:firstLine="284"/>
        <w:jc w:val="both"/>
      </w:pPr>
      <w:r>
        <w:t>Potraživanja za isplaćene predujmove za gradnju brodova</w:t>
      </w:r>
      <w:r>
        <w:tab/>
        <w:t>989.125,00</w:t>
      </w:r>
    </w:p>
    <w:p w14:paraId="0D9B3284" w14:textId="77777777" w:rsidR="00BB69DB" w:rsidRDefault="00BB69DB" w:rsidP="00E161EF">
      <w:pPr>
        <w:tabs>
          <w:tab w:val="right" w:pos="8931"/>
        </w:tabs>
        <w:ind w:firstLine="284"/>
        <w:jc w:val="both"/>
      </w:pPr>
      <w:r>
        <w:t>Potraživanje za isplaćen predujam za PSO – HŽPP</w:t>
      </w:r>
      <w:r>
        <w:tab/>
        <w:t>14.439.101,51</w:t>
      </w:r>
    </w:p>
    <w:p w14:paraId="15EDB53E" w14:textId="77777777" w:rsidR="00BB69DB" w:rsidRDefault="00BB69DB" w:rsidP="00E161EF">
      <w:pPr>
        <w:tabs>
          <w:tab w:val="right" w:pos="8931"/>
        </w:tabs>
        <w:ind w:firstLine="284"/>
        <w:jc w:val="both"/>
      </w:pPr>
      <w:r>
        <w:t>Potraživanje za isplaćen predujam za PSO- CA</w:t>
      </w:r>
      <w:r>
        <w:tab/>
        <w:t>728.951,00</w:t>
      </w:r>
    </w:p>
    <w:p w14:paraId="5B4EC358" w14:textId="77777777" w:rsidR="00BB69DB" w:rsidRDefault="00BB69DB" w:rsidP="00E161EF">
      <w:pPr>
        <w:tabs>
          <w:tab w:val="right" w:pos="8931"/>
        </w:tabs>
        <w:ind w:firstLine="284"/>
        <w:jc w:val="both"/>
      </w:pPr>
      <w:r>
        <w:t>Potraživanje za isplaćene predujmove za EU projekte izvan proračuna</w:t>
      </w:r>
      <w:r>
        <w:tab/>
        <w:t>86.570.913,40</w:t>
      </w:r>
    </w:p>
    <w:p w14:paraId="77A8ED2B" w14:textId="77777777" w:rsidR="00BB69DB" w:rsidRDefault="00BB69DB" w:rsidP="00E161EF">
      <w:pPr>
        <w:tabs>
          <w:tab w:val="right" w:pos="8931"/>
        </w:tabs>
        <w:ind w:firstLine="284"/>
        <w:jc w:val="both"/>
      </w:pPr>
      <w:r>
        <w:t>Potraživanje za isplaćene predujmove za EU projekte unutar proračuna</w:t>
      </w:r>
      <w:r>
        <w:tab/>
        <w:t>23.872.237,77</w:t>
      </w:r>
    </w:p>
    <w:p w14:paraId="269F8189" w14:textId="77777777" w:rsidR="00BB69DB" w:rsidRDefault="00BB69DB" w:rsidP="00E161EF">
      <w:pPr>
        <w:tabs>
          <w:tab w:val="right" w:pos="8931"/>
        </w:tabs>
        <w:ind w:firstLine="284"/>
        <w:jc w:val="both"/>
      </w:pPr>
      <w:r>
        <w:t>Potraživanja od osiguravajuće kuće po šteti</w:t>
      </w:r>
      <w:r>
        <w:tab/>
        <w:t>4.988,25</w:t>
      </w:r>
    </w:p>
    <w:p w14:paraId="5039226F" w14:textId="77777777" w:rsidR="00BB69DB" w:rsidRDefault="00BB69DB" w:rsidP="00E161EF">
      <w:pPr>
        <w:tabs>
          <w:tab w:val="right" w:pos="8931"/>
        </w:tabs>
        <w:ind w:firstLine="284"/>
        <w:jc w:val="both"/>
      </w:pPr>
      <w:r>
        <w:t>Potraživanja za isplaćene stipendije</w:t>
      </w:r>
      <w:r>
        <w:tab/>
        <w:t>28.832,44</w:t>
      </w:r>
    </w:p>
    <w:p w14:paraId="3AEAE8F9" w14:textId="77777777" w:rsidR="00BB69DB" w:rsidRDefault="00BB69DB" w:rsidP="00E161EF">
      <w:pPr>
        <w:tabs>
          <w:tab w:val="right" w:pos="8931"/>
        </w:tabs>
        <w:ind w:firstLine="284"/>
        <w:jc w:val="both"/>
      </w:pPr>
      <w:r>
        <w:t>Potraživanje za povrat neprihvatljivih troškova po projektu FSEU</w:t>
      </w:r>
      <w:r>
        <w:tab/>
        <w:t>22.200,00</w:t>
      </w:r>
    </w:p>
    <w:p w14:paraId="60F85A78" w14:textId="77777777" w:rsidR="00BB69DB" w:rsidRDefault="00BB69DB" w:rsidP="00E161EF">
      <w:pPr>
        <w:tabs>
          <w:tab w:val="right" w:pos="8931"/>
        </w:tabs>
        <w:ind w:firstLine="284"/>
        <w:jc w:val="both"/>
      </w:pPr>
      <w:r>
        <w:t>Potraživanje za povrat neutrošenih sredstava</w:t>
      </w:r>
      <w:r>
        <w:tab/>
        <w:t>27.500,00</w:t>
      </w:r>
    </w:p>
    <w:p w14:paraId="32B38868" w14:textId="77777777" w:rsidR="00BB69DB" w:rsidRDefault="00BB69DB" w:rsidP="00E161EF">
      <w:pPr>
        <w:tabs>
          <w:tab w:val="right" w:pos="8931"/>
        </w:tabs>
        <w:ind w:firstLine="284"/>
        <w:jc w:val="both"/>
      </w:pPr>
      <w:r>
        <w:t>Potraživanje za povrat po nagodbi</w:t>
      </w:r>
      <w:r>
        <w:tab/>
        <w:t>93.091,05</w:t>
      </w:r>
    </w:p>
    <w:p w14:paraId="2C84DD51" w14:textId="77777777" w:rsidR="00BB69DB" w:rsidRDefault="00BB69DB" w:rsidP="00E161EF">
      <w:pPr>
        <w:tabs>
          <w:tab w:val="right" w:pos="8931"/>
        </w:tabs>
        <w:ind w:firstLine="284"/>
        <w:jc w:val="both"/>
      </w:pPr>
      <w:r>
        <w:lastRenderedPageBreak/>
        <w:t>Utužena potraživanja od dobavljača</w:t>
      </w:r>
      <w:r>
        <w:tab/>
        <w:t>99.160,34</w:t>
      </w:r>
    </w:p>
    <w:p w14:paraId="002B369C" w14:textId="77777777" w:rsidR="00BB69DB" w:rsidRDefault="00BB69DB" w:rsidP="00E161EF">
      <w:pPr>
        <w:tabs>
          <w:tab w:val="right" w:pos="8931"/>
        </w:tabs>
        <w:ind w:firstLine="284"/>
        <w:jc w:val="both"/>
      </w:pPr>
      <w:r>
        <w:t>Potraživanja po koncesijskom ugovoru Bina-Istra</w:t>
      </w:r>
      <w:r>
        <w:tab/>
        <w:t>1.891.274,94</w:t>
      </w:r>
    </w:p>
    <w:p w14:paraId="14DAAB68" w14:textId="77777777" w:rsidR="00BB69DB" w:rsidRDefault="00BB69DB" w:rsidP="00E161EF">
      <w:pPr>
        <w:tabs>
          <w:tab w:val="right" w:pos="8931"/>
        </w:tabs>
        <w:ind w:firstLine="284"/>
        <w:jc w:val="both"/>
        <w:rPr>
          <w:b/>
        </w:rPr>
      </w:pPr>
      <w:r w:rsidRPr="00D97A7C">
        <w:rPr>
          <w:b/>
        </w:rPr>
        <w:t>UKUPNO:</w:t>
      </w:r>
      <w:r w:rsidRPr="00D97A7C">
        <w:rPr>
          <w:b/>
        </w:rPr>
        <w:tab/>
        <w:t>128.811.862,79</w:t>
      </w:r>
    </w:p>
    <w:p w14:paraId="23EE791F" w14:textId="77777777" w:rsidR="00BB69DB" w:rsidRPr="00D97A7C" w:rsidRDefault="00BB69DB" w:rsidP="00E161EF">
      <w:pPr>
        <w:tabs>
          <w:tab w:val="right" w:pos="8931"/>
        </w:tabs>
        <w:jc w:val="both"/>
        <w:rPr>
          <w:b/>
        </w:rPr>
      </w:pPr>
    </w:p>
    <w:p w14:paraId="0EA94EEC" w14:textId="77777777" w:rsidR="00BB69DB" w:rsidRDefault="00BB69DB" w:rsidP="00E161EF">
      <w:pPr>
        <w:jc w:val="both"/>
      </w:pPr>
      <w:r>
        <w:t>Ostala potraživanja od zaposlenih odnose se na potraživanje temeljem sporazuma za naknadu štete od jednog službenika i rješenja Službeničkog suda, te za povrat plaćenih troškova školarine.</w:t>
      </w:r>
    </w:p>
    <w:p w14:paraId="10456351" w14:textId="77777777" w:rsidR="00BB69DB" w:rsidRDefault="00BB69DB" w:rsidP="00E161EF">
      <w:pPr>
        <w:jc w:val="both"/>
      </w:pPr>
      <w:r>
        <w:t xml:space="preserve">Radi obnove SAR flote lučkih kapetanija 2023. godine isplaćen je predujam za gradnju 9 gumenih brodica, predujam za gradnju 15 </w:t>
      </w:r>
      <w:proofErr w:type="spellStart"/>
      <w:r>
        <w:t>stakloplastičnih</w:t>
      </w:r>
      <w:proofErr w:type="spellEnd"/>
      <w:r>
        <w:t xml:space="preserve"> brodica i 7 aluminijskih brodica. Još nisu isporučene sve ugovorene brodice.</w:t>
      </w:r>
    </w:p>
    <w:p w14:paraId="50FFDB03" w14:textId="77777777" w:rsidR="00BB69DB" w:rsidRDefault="00BB69DB" w:rsidP="00E161EF">
      <w:pPr>
        <w:jc w:val="both"/>
      </w:pPr>
      <w:r>
        <w:t xml:space="preserve">Od Općine </w:t>
      </w:r>
      <w:proofErr w:type="spellStart"/>
      <w:r>
        <w:t>Dubravica</w:t>
      </w:r>
      <w:proofErr w:type="spellEnd"/>
      <w:r>
        <w:t xml:space="preserve"> zatražen je povrat sredstava zbog neprihvatljivih troškova na projektu financiranom iz Fonda solidarnosti EU. Općina se žalila na Odluku o povratu sredstava.</w:t>
      </w:r>
    </w:p>
    <w:p w14:paraId="0281F1F6" w14:textId="77777777" w:rsidR="00BB69DB" w:rsidRDefault="00BB69DB" w:rsidP="00E161EF">
      <w:pPr>
        <w:jc w:val="both"/>
      </w:pPr>
      <w:r>
        <w:t>Od Općine Gradac zatražen je povrat neutrošenih sredstava. </w:t>
      </w:r>
    </w:p>
    <w:p w14:paraId="4E2C251C" w14:textId="77777777" w:rsidR="00BB69DB" w:rsidRDefault="00BB69DB" w:rsidP="00E161EF">
      <w:pPr>
        <w:jc w:val="both"/>
      </w:pPr>
      <w:r>
        <w:t>Ostala utužena potraživanja odnose se na potraživanja za nenamjenski utrošena sredstva za gradnju brodova (99.160,35 EUR) za koje su pokrenuti sudski postupci.</w:t>
      </w:r>
    </w:p>
    <w:p w14:paraId="0E988C9A" w14:textId="77777777" w:rsidR="00BB69DB" w:rsidRDefault="00BB69DB" w:rsidP="00E161EF">
      <w:pPr>
        <w:jc w:val="both"/>
      </w:pPr>
      <w:r>
        <w:t>Nekoliko učenika i studenata koji su dužni vratiti isplaćene stipendije dobili su rješenje da stipendije vraćaju obročno, dio učenika i studenata podnijelo je zahtjev Ministarstvu financija za otpis duga temeljem socijalnih kriterija, a ostali su primili opomene te se pokreću sudski postupci.</w:t>
      </w:r>
    </w:p>
    <w:p w14:paraId="0D56A9DE" w14:textId="77777777" w:rsidR="00BB69DB" w:rsidRDefault="00BB69DB" w:rsidP="00E161EF">
      <w:pPr>
        <w:jc w:val="both"/>
      </w:pPr>
      <w:r>
        <w:t>Najznačajnije potraživanje za isplaćene predujmove za EU projekte subjektima izvan općeg proračuna odnosi se na isplaćeni predujam za projekt Istraživanje, razvoj i proizvodnja vozila nove mobilnosti i prateće infrastrukture. Najznačajnija potraživanja za isplaćene predujmove za EU projekte subjektima unutar općeg DP odnosi se na isplaćene predujmove za nabavu niskopodnih tramvaja u Osijeku, uklanjanje uskih grla na željezničkoj infrastrukturi i modernizaciju željezničko-cestovnih prijelaza te za projekte lučkih uprava izgradnje lučke infrastrukture.</w:t>
      </w:r>
    </w:p>
    <w:p w14:paraId="50BF6CC9" w14:textId="77777777" w:rsidR="00BB69DB" w:rsidRDefault="00BB69DB" w:rsidP="00E161EF">
      <w:pPr>
        <w:jc w:val="both"/>
      </w:pPr>
      <w:r>
        <w:t>Temeljem koncesijskog ugovora, Bina-Istra je za realizaciju faze „2B2 Istarskog ipsilona“ iz viška za 2017. i 2018. godinu zadržala 5.000.000,00. Višak po konačnom obračunu za 2019. godinu od 8.220.122,73 EUR je zadržan na namjenskom računu Bina-Istre za financiranje obveza za fazu „2B2-1“, a višak po konačnom obračunu za 2020. od 4.700.000,00 EUR je zadržan za razvoj pod-faza „2B2-2“ i „2B2-3“. Višak za 2023. od 8.639.524,14 EUR Bina Istra koristi za pokriće troškova projekta. Tijekom 2025. godine Bina-Istra je iz zadržanog viška iz prethodnih godina financirala izgradnju faze „2B2-2“,  „2B2-3“ i troškove projekta u iznosu od 16.483.536,55 EUR.</w:t>
      </w:r>
    </w:p>
    <w:p w14:paraId="5ABD2B44" w14:textId="77777777" w:rsidR="00BB69DB" w:rsidRDefault="00BB69DB" w:rsidP="00E161EF">
      <w:pPr>
        <w:jc w:val="both"/>
      </w:pPr>
      <w:r>
        <w:t>Temeljem  Ugovoru 1/2019/DP-HŽPP o javnim uslugama od općeg gospodarskog interesa u javnom željezničkom prijevozu Ministarstvo kvartalno isplaćuje predujam HŽ Putničkom prijevozu, a HŽ PP isplaćeni predujam pravda troškovima PSO usluge. Potraživanje od HŽ Putničkog prijevoza za isplaćeni predujam u iznosu od 14.439.101,51EUR biti će zatvoren po konačnom obračunu.</w:t>
      </w:r>
    </w:p>
    <w:p w14:paraId="2631BE26" w14:textId="77777777" w:rsidR="00BB69DB" w:rsidRDefault="00BB69DB" w:rsidP="00E161EF">
      <w:pPr>
        <w:jc w:val="both"/>
      </w:pPr>
      <w:r>
        <w:t>Ugovor za obavljanje domaćeg linijskog zračnog prijevoza za razdoblje od 4. srpnja 2022. do 28. ožujka 2026. godine završava 28.03.2026. Croatia Airlinesu je isplaćen preostali iznos po tom ugovoru, a obračun troškova i zatvaranje predujma će se izvršiti po okončanju ugovora.</w:t>
      </w:r>
    </w:p>
    <w:p w14:paraId="5D58879A" w14:textId="77777777" w:rsidR="00BB69DB" w:rsidRDefault="00BB69DB"/>
    <w:p w14:paraId="285709F2" w14:textId="77777777" w:rsidR="00BB69DB" w:rsidRDefault="00BB69DB">
      <w:pPr>
        <w:keepNext/>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69DB" w14:paraId="3A5E4C6F" w14:textId="77777777">
        <w:trPr>
          <w:cantSplit/>
        </w:trPr>
        <w:tc>
          <w:tcPr>
            <w:tcW w:w="700" w:type="dxa"/>
            <w:shd w:val="clear" w:color="auto" w:fill="E7F0F9"/>
            <w:tcMar>
              <w:top w:w="0" w:type="dxa"/>
              <w:bottom w:w="0" w:type="dxa"/>
            </w:tcMar>
            <w:vAlign w:val="center"/>
          </w:tcPr>
          <w:p w14:paraId="2E254B14" w14:textId="77777777" w:rsidR="00BB69DB" w:rsidRDefault="00BB69DB">
            <w:pPr>
              <w:keepNext/>
              <w:keepLines/>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7BE00A6" w14:textId="77777777" w:rsidR="00BB69DB" w:rsidRDefault="00BB69DB">
            <w:pPr>
              <w:keepNext/>
              <w:keepLines/>
              <w:jc w:val="center"/>
            </w:pPr>
            <w:r>
              <w:rPr>
                <w:b/>
                <w:sz w:val="18"/>
              </w:rPr>
              <w:t>Opis stavke</w:t>
            </w:r>
          </w:p>
        </w:tc>
        <w:tc>
          <w:tcPr>
            <w:tcW w:w="700" w:type="dxa"/>
            <w:shd w:val="clear" w:color="auto" w:fill="E7F0F9"/>
            <w:tcMar>
              <w:top w:w="0" w:type="dxa"/>
              <w:bottom w:w="0" w:type="dxa"/>
            </w:tcMar>
            <w:vAlign w:val="center"/>
          </w:tcPr>
          <w:p w14:paraId="7F2BDDF5" w14:textId="77777777" w:rsidR="00BB69DB" w:rsidRDefault="00BB69DB">
            <w:pPr>
              <w:keepNext/>
              <w:keepLines/>
              <w:jc w:val="center"/>
            </w:pPr>
            <w:r>
              <w:rPr>
                <w:b/>
                <w:sz w:val="18"/>
              </w:rPr>
              <w:t>Šifra</w:t>
            </w:r>
          </w:p>
        </w:tc>
        <w:tc>
          <w:tcPr>
            <w:tcW w:w="1860" w:type="dxa"/>
            <w:shd w:val="clear" w:color="auto" w:fill="E7F0F9"/>
            <w:tcMar>
              <w:top w:w="0" w:type="dxa"/>
              <w:bottom w:w="0" w:type="dxa"/>
            </w:tcMar>
            <w:vAlign w:val="center"/>
          </w:tcPr>
          <w:p w14:paraId="50EEF14B" w14:textId="77777777" w:rsidR="00BB69DB" w:rsidRDefault="00BB69DB">
            <w:pPr>
              <w:keepNext/>
              <w:keepLines/>
              <w:jc w:val="center"/>
            </w:pPr>
            <w:r>
              <w:rPr>
                <w:b/>
                <w:sz w:val="18"/>
              </w:rPr>
              <w:t>Stanje 1. siječnja</w:t>
            </w:r>
          </w:p>
        </w:tc>
        <w:tc>
          <w:tcPr>
            <w:tcW w:w="1860" w:type="dxa"/>
            <w:shd w:val="clear" w:color="auto" w:fill="E7F0F9"/>
            <w:tcMar>
              <w:top w:w="0" w:type="dxa"/>
              <w:bottom w:w="0" w:type="dxa"/>
            </w:tcMar>
            <w:vAlign w:val="center"/>
          </w:tcPr>
          <w:p w14:paraId="79ABBCA9" w14:textId="77777777" w:rsidR="00BB69DB" w:rsidRDefault="00BB69DB">
            <w:pPr>
              <w:keepNext/>
              <w:keepLines/>
              <w:jc w:val="center"/>
            </w:pPr>
            <w:r>
              <w:rPr>
                <w:b/>
                <w:sz w:val="18"/>
              </w:rPr>
              <w:t>Stanje 31. prosinca</w:t>
            </w:r>
          </w:p>
        </w:tc>
        <w:tc>
          <w:tcPr>
            <w:tcW w:w="700" w:type="dxa"/>
            <w:shd w:val="clear" w:color="auto" w:fill="E7F0F9"/>
            <w:tcMar>
              <w:top w:w="0" w:type="dxa"/>
              <w:bottom w:w="0" w:type="dxa"/>
            </w:tcMar>
            <w:vAlign w:val="center"/>
          </w:tcPr>
          <w:p w14:paraId="4C71873F" w14:textId="77777777" w:rsidR="00BB69DB" w:rsidRDefault="00BB69DB">
            <w:pPr>
              <w:keepNext/>
              <w:keepLines/>
              <w:jc w:val="center"/>
            </w:pPr>
            <w:r>
              <w:rPr>
                <w:b/>
                <w:sz w:val="18"/>
              </w:rPr>
              <w:t>Indeks (%)</w:t>
            </w:r>
          </w:p>
        </w:tc>
      </w:tr>
      <w:tr w:rsidR="00BB69DB" w14:paraId="79D04316" w14:textId="77777777">
        <w:trPr>
          <w:cantSplit/>
          <w:trHeight w:val="560"/>
        </w:trPr>
        <w:tc>
          <w:tcPr>
            <w:tcW w:w="700" w:type="dxa"/>
            <w:tcMar>
              <w:top w:w="0" w:type="dxa"/>
              <w:bottom w:w="0" w:type="dxa"/>
            </w:tcMar>
            <w:vAlign w:val="center"/>
          </w:tcPr>
          <w:p w14:paraId="4EA72247" w14:textId="77777777" w:rsidR="00BB69DB" w:rsidRDefault="00BB69DB">
            <w:pPr>
              <w:keepNext/>
              <w:keepLines/>
            </w:pPr>
            <w:r>
              <w:rPr>
                <w:sz w:val="18"/>
              </w:rPr>
              <w:t>13</w:t>
            </w:r>
          </w:p>
        </w:tc>
        <w:tc>
          <w:tcPr>
            <w:tcW w:w="3180" w:type="dxa"/>
            <w:tcMar>
              <w:top w:w="0" w:type="dxa"/>
              <w:bottom w:w="0" w:type="dxa"/>
            </w:tcMar>
            <w:vAlign w:val="center"/>
          </w:tcPr>
          <w:p w14:paraId="7CDAE378" w14:textId="77777777" w:rsidR="00BB69DB" w:rsidRDefault="00BB69DB">
            <w:pPr>
              <w:keepNext/>
              <w:keepLines/>
            </w:pPr>
            <w:r>
              <w:rPr>
                <w:sz w:val="18"/>
              </w:rPr>
              <w:t>Potraživanja za dane zajmove (šifre 13X1+13X2-139)</w:t>
            </w:r>
          </w:p>
        </w:tc>
        <w:tc>
          <w:tcPr>
            <w:tcW w:w="700" w:type="dxa"/>
            <w:tcMar>
              <w:top w:w="0" w:type="dxa"/>
              <w:bottom w:w="0" w:type="dxa"/>
            </w:tcMar>
            <w:vAlign w:val="center"/>
          </w:tcPr>
          <w:p w14:paraId="74555F16" w14:textId="77777777" w:rsidR="00BB69DB" w:rsidRDefault="00BB69DB">
            <w:pPr>
              <w:keepNext/>
              <w:keepLines/>
            </w:pPr>
            <w:r>
              <w:rPr>
                <w:sz w:val="18"/>
              </w:rPr>
              <w:t>13</w:t>
            </w:r>
          </w:p>
        </w:tc>
        <w:tc>
          <w:tcPr>
            <w:tcW w:w="1860" w:type="dxa"/>
            <w:tcMar>
              <w:top w:w="0" w:type="dxa"/>
              <w:bottom w:w="0" w:type="dxa"/>
            </w:tcMar>
            <w:vAlign w:val="center"/>
          </w:tcPr>
          <w:p w14:paraId="0A2DCFCC" w14:textId="77777777" w:rsidR="00BB69DB" w:rsidRDefault="00BB69DB">
            <w:pPr>
              <w:keepNext/>
              <w:keepLines/>
              <w:jc w:val="right"/>
            </w:pPr>
            <w:r>
              <w:rPr>
                <w:sz w:val="18"/>
              </w:rPr>
              <w:t>147.621.866,19</w:t>
            </w:r>
          </w:p>
        </w:tc>
        <w:tc>
          <w:tcPr>
            <w:tcW w:w="1860" w:type="dxa"/>
            <w:tcMar>
              <w:top w:w="0" w:type="dxa"/>
              <w:bottom w:w="0" w:type="dxa"/>
            </w:tcMar>
            <w:vAlign w:val="center"/>
          </w:tcPr>
          <w:p w14:paraId="1A8981E1" w14:textId="77777777" w:rsidR="00BB69DB" w:rsidRDefault="00BB69DB">
            <w:pPr>
              <w:keepNext/>
              <w:keepLines/>
              <w:jc w:val="right"/>
            </w:pPr>
            <w:r>
              <w:rPr>
                <w:sz w:val="18"/>
              </w:rPr>
              <w:t>96.586.087,99</w:t>
            </w:r>
          </w:p>
        </w:tc>
        <w:tc>
          <w:tcPr>
            <w:tcW w:w="700" w:type="dxa"/>
            <w:tcMar>
              <w:top w:w="0" w:type="dxa"/>
              <w:bottom w:w="0" w:type="dxa"/>
            </w:tcMar>
            <w:vAlign w:val="center"/>
          </w:tcPr>
          <w:p w14:paraId="28485421" w14:textId="77777777" w:rsidR="00BB69DB" w:rsidRDefault="00BB69DB">
            <w:pPr>
              <w:keepNext/>
              <w:keepLines/>
              <w:jc w:val="right"/>
            </w:pPr>
            <w:r>
              <w:rPr>
                <w:sz w:val="18"/>
              </w:rPr>
              <w:t>65,4</w:t>
            </w:r>
          </w:p>
        </w:tc>
      </w:tr>
    </w:tbl>
    <w:p w14:paraId="45AA9FAC" w14:textId="77777777" w:rsidR="00BB69DB" w:rsidRDefault="00BB69DB"/>
    <w:p w14:paraId="3DBC6CEA" w14:textId="77777777" w:rsidR="00BB69DB" w:rsidRDefault="00BB69DB" w:rsidP="00E161EF">
      <w:pPr>
        <w:jc w:val="both"/>
      </w:pPr>
      <w:r>
        <w:t>Potraživanje za dane zajmove na dan 31.12.2025.:</w:t>
      </w:r>
    </w:p>
    <w:p w14:paraId="00AB2846" w14:textId="77777777" w:rsidR="00BB69DB" w:rsidRDefault="00BB69DB" w:rsidP="00E161EF">
      <w:pPr>
        <w:tabs>
          <w:tab w:val="right" w:pos="8931"/>
        </w:tabs>
        <w:ind w:firstLine="284"/>
        <w:jc w:val="both"/>
      </w:pPr>
      <w:r>
        <w:t>Autocesta Zagreb-Macelj (</w:t>
      </w:r>
      <w:proofErr w:type="spellStart"/>
      <w:r>
        <w:t>Shareholder</w:t>
      </w:r>
      <w:proofErr w:type="spellEnd"/>
      <w:r>
        <w:t xml:space="preserve"> </w:t>
      </w:r>
      <w:proofErr w:type="spellStart"/>
      <w:r>
        <w:t>loan</w:t>
      </w:r>
      <w:proofErr w:type="spellEnd"/>
      <w:r>
        <w:t>)</w:t>
      </w:r>
      <w:r>
        <w:tab/>
        <w:t>9.246.300,00</w:t>
      </w:r>
    </w:p>
    <w:p w14:paraId="4134C20C" w14:textId="77777777" w:rsidR="00BB69DB" w:rsidRDefault="00BB69DB" w:rsidP="00E161EF">
      <w:pPr>
        <w:tabs>
          <w:tab w:val="right" w:pos="8931"/>
        </w:tabs>
        <w:ind w:firstLine="284"/>
        <w:jc w:val="both"/>
      </w:pPr>
      <w:r>
        <w:t>Autocesta Zagreb-Macelj-TSCA</w:t>
      </w:r>
      <w:r>
        <w:tab/>
        <w:t>44.938.218,00</w:t>
      </w:r>
    </w:p>
    <w:p w14:paraId="20051E2E" w14:textId="77777777" w:rsidR="00BB69DB" w:rsidRDefault="00BB69DB" w:rsidP="00E161EF">
      <w:pPr>
        <w:tabs>
          <w:tab w:val="right" w:pos="8931"/>
        </w:tabs>
        <w:ind w:firstLine="284"/>
        <w:jc w:val="both"/>
      </w:pPr>
      <w:r>
        <w:t>Croatia Airlines</w:t>
      </w:r>
      <w:r>
        <w:tab/>
        <w:t>42.401.569,99</w:t>
      </w:r>
    </w:p>
    <w:p w14:paraId="7F638527" w14:textId="77777777" w:rsidR="00BB69DB" w:rsidRPr="00D97A7C" w:rsidRDefault="00BB69DB" w:rsidP="00E161EF">
      <w:pPr>
        <w:tabs>
          <w:tab w:val="right" w:pos="8931"/>
        </w:tabs>
        <w:ind w:firstLine="284"/>
        <w:jc w:val="both"/>
        <w:rPr>
          <w:b/>
        </w:rPr>
      </w:pPr>
      <w:r w:rsidRPr="00D97A7C">
        <w:rPr>
          <w:b/>
        </w:rPr>
        <w:t>UKUPNO:</w:t>
      </w:r>
      <w:r w:rsidRPr="00D97A7C">
        <w:rPr>
          <w:b/>
        </w:rPr>
        <w:tab/>
        <w:t> 96.586.087,99</w:t>
      </w:r>
    </w:p>
    <w:p w14:paraId="27F81D15" w14:textId="77777777" w:rsidR="00BB69DB" w:rsidRDefault="00BB69DB" w:rsidP="00E161EF">
      <w:pPr>
        <w:jc w:val="both"/>
      </w:pPr>
      <w:r>
        <w:t> </w:t>
      </w:r>
    </w:p>
    <w:p w14:paraId="74808877" w14:textId="77777777" w:rsidR="00BB69DB" w:rsidRDefault="00BB69DB" w:rsidP="00E161EF">
      <w:pPr>
        <w:jc w:val="both"/>
      </w:pPr>
      <w:r>
        <w:lastRenderedPageBreak/>
        <w:t>U 2025. godini nije bilo isplata za doprinos za pad prometa Autocesti Zagreb-Macelj je po koncesijskom ugovoru.</w:t>
      </w:r>
    </w:p>
    <w:p w14:paraId="02003545" w14:textId="77777777" w:rsidR="00BB69DB" w:rsidRDefault="00BB69DB" w:rsidP="00E161EF">
      <w:pPr>
        <w:jc w:val="both"/>
      </w:pPr>
      <w:r>
        <w:t>Ministarstvo je 30.1.2020. Croatia Airlines d.d., temeljem Odluke Vlade RH o stvaranju prethodno potrebnih uvjeta osiguranja postupka dokapitalizacije društva Croatia Airlines d.d., od 19. 9. 2019., isplatilo 19.908.421,26 EUR predujma za osiguranje nužne stabilizacije poslovanja prije provedbe procesa povećanja kapitala društva. Odlukom Vlade RH o dopuni Odluke o stvaranju prethodno potrebnih uvjeta osiguranja postupka dokapitalizacije društva Croatia Airlines d.d., od 30.1.2020., definirano je da će se sredstva isplaćenog predujma tretirati kao zajam dioničara te da će Ministarstvo u svojim knjigovodstvenim evidencijama iskazati potraživanje po danom zajmu u ukupnom iznosu od 33.180.702,10 EUR (13.272.280,84 EUR je u 2019. godini isplatilo Ministarstvo financija). Društvo Croatia Airlines je zatražilo i dobilo produženje roka za povrat danog zajma.</w:t>
      </w:r>
    </w:p>
    <w:p w14:paraId="5D084B3E" w14:textId="77777777" w:rsidR="00BB69DB" w:rsidRDefault="00BB69DB" w:rsidP="00E161EF">
      <w:pPr>
        <w:jc w:val="both"/>
      </w:pPr>
      <w:r>
        <w:t xml:space="preserve">Temeljem ugovora o zajmu od 30. lipnja 2022. godine Ministarstvo je Croatia Airlines d.d. 21. 11. 2022. godine isplatilo 12.475.943,99 EUR zajma za osiguranje nužne financijske stabilnosti i likvidnosti društva uslijed krize uzrokovane </w:t>
      </w:r>
      <w:proofErr w:type="spellStart"/>
      <w:r>
        <w:t>pandemijom</w:t>
      </w:r>
      <w:proofErr w:type="spellEnd"/>
      <w:r>
        <w:t xml:space="preserve"> COVID-19. Zajam je dodijeljen u skladu s privremenim okvirom Europske komisije za državne potpore radi podrške gospodarstvu u aktualnoj </w:t>
      </w:r>
      <w:proofErr w:type="spellStart"/>
      <w:r>
        <w:t>pandemiji</w:t>
      </w:r>
      <w:proofErr w:type="spellEnd"/>
      <w:r>
        <w:t xml:space="preserve"> COVID-19.</w:t>
      </w:r>
    </w:p>
    <w:p w14:paraId="223B65B1" w14:textId="77777777" w:rsidR="00BB69DB" w:rsidRDefault="00BB69DB" w:rsidP="00E161EF">
      <w:pPr>
        <w:jc w:val="both"/>
      </w:pPr>
      <w:r>
        <w:t xml:space="preserve">Ministarstvo financija je 23.12.2020. godine Croatia Airlines d.d. isplatilo zajam za osiguranje nužne financijske stabilizacije i likvidnosti društva uslijed krize uzrokovane </w:t>
      </w:r>
      <w:proofErr w:type="spellStart"/>
      <w:r>
        <w:t>pandemijom</w:t>
      </w:r>
      <w:proofErr w:type="spellEnd"/>
      <w:r>
        <w:t xml:space="preserve"> COVID-19 u iznosu od 33.180.702,10 EUR. Zajam je kao potraživanje bio iskazan u knjigovodstvenoj evidenciji Ministarstva financija. Ministarstvo financija je s danom 31.10.2024. iz svoje knjigovodstvene evidencije </w:t>
      </w:r>
      <w:proofErr w:type="spellStart"/>
      <w:r>
        <w:t>isknjižilo</w:t>
      </w:r>
      <w:proofErr w:type="spellEnd"/>
      <w:r>
        <w:t xml:space="preserve"> potraživanje za isplaćeni zajam  Croatia Airlines d.d. i obvezalo Ministarstvo mora, prometa i infrastrukture da navedeno potraživanje evidentira u svojoj knjigovodstvenoj evidenciji.</w:t>
      </w:r>
    </w:p>
    <w:p w14:paraId="5BB8EB73" w14:textId="77777777" w:rsidR="00BB69DB" w:rsidRDefault="00BB69DB" w:rsidP="00E161EF">
      <w:pPr>
        <w:jc w:val="both"/>
      </w:pPr>
      <w:r>
        <w:t xml:space="preserve">Temeljem Odluke Vlade RH o odobrenju povećanja temeljnog kapitala društva Croatia Airlines od 12.12.2025. izvršena je dokapitalizacija u iznosu od 43 </w:t>
      </w:r>
      <w:proofErr w:type="spellStart"/>
      <w:r>
        <w:t>mil</w:t>
      </w:r>
      <w:proofErr w:type="spellEnd"/>
      <w:r>
        <w:t xml:space="preserve"> EUR pretvaranjem potraživanja po danim zajmovima i kamatama u kapital. Zajmovi su zatvoreni u iznosu od 36.435.778,20 EUR, a kamate u iznosu od 6.564.221,80 EUR. Ovime se osigurava provedba postupka zamjene flote Croatia Airlines, osigurava stabilnost i oporavak kapitala te poslovanje u predviđenim uvjetima jedinstvene flote zrakoplova.</w:t>
      </w:r>
    </w:p>
    <w:p w14:paraId="602D84CD" w14:textId="77777777" w:rsidR="00BB69DB" w:rsidRDefault="00BB69DB" w:rsidP="00E161EF">
      <w:pPr>
        <w:jc w:val="both"/>
      </w:pPr>
      <w:r>
        <w:t>Temeljem Odluke Vlade RH o odobrenju državne potpore za sanaciju društva  Pružne građevine d.o.o. od 9. studenog 2023. godine, društvu je dan kratkoročni zajam za osiguranje likvidnosti zbog teškoća u poslovanju u iznosu od 14.600.000,00 EUR. Rok za vraćanje zajma je bio 23.05.2024. Društvo je izvršilo povrat zajma u 2025. godini. </w:t>
      </w:r>
    </w:p>
    <w:p w14:paraId="4D4C8723" w14:textId="77777777" w:rsidR="00BB69DB" w:rsidRDefault="00BB69DB" w:rsidP="00E161EF">
      <w:pPr>
        <w:jc w:val="both"/>
      </w:pPr>
    </w:p>
    <w:p w14:paraId="0BE91B51" w14:textId="77777777" w:rsidR="00BB69DB" w:rsidRDefault="00BB69DB">
      <w:pPr>
        <w:keepNext/>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69DB" w14:paraId="0A4C9C84" w14:textId="77777777">
        <w:trPr>
          <w:cantSplit/>
        </w:trPr>
        <w:tc>
          <w:tcPr>
            <w:tcW w:w="700" w:type="dxa"/>
            <w:shd w:val="clear" w:color="auto" w:fill="E7F0F9"/>
            <w:tcMar>
              <w:top w:w="0" w:type="dxa"/>
              <w:bottom w:w="0" w:type="dxa"/>
            </w:tcMar>
            <w:vAlign w:val="center"/>
          </w:tcPr>
          <w:p w14:paraId="08C99E7D" w14:textId="77777777" w:rsidR="00BB69DB" w:rsidRDefault="00BB69DB">
            <w:pPr>
              <w:keepNext/>
              <w:keepLines/>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D1CD65" w14:textId="77777777" w:rsidR="00BB69DB" w:rsidRDefault="00BB69DB">
            <w:pPr>
              <w:keepNext/>
              <w:keepLines/>
              <w:jc w:val="center"/>
            </w:pPr>
            <w:r>
              <w:rPr>
                <w:b/>
                <w:sz w:val="18"/>
              </w:rPr>
              <w:t>Opis stavke</w:t>
            </w:r>
          </w:p>
        </w:tc>
        <w:tc>
          <w:tcPr>
            <w:tcW w:w="700" w:type="dxa"/>
            <w:shd w:val="clear" w:color="auto" w:fill="E7F0F9"/>
            <w:tcMar>
              <w:top w:w="0" w:type="dxa"/>
              <w:bottom w:w="0" w:type="dxa"/>
            </w:tcMar>
            <w:vAlign w:val="center"/>
          </w:tcPr>
          <w:p w14:paraId="40C16712" w14:textId="77777777" w:rsidR="00BB69DB" w:rsidRDefault="00BB69DB">
            <w:pPr>
              <w:keepNext/>
              <w:keepLines/>
              <w:jc w:val="center"/>
            </w:pPr>
            <w:r>
              <w:rPr>
                <w:b/>
                <w:sz w:val="18"/>
              </w:rPr>
              <w:t>Šifra</w:t>
            </w:r>
          </w:p>
        </w:tc>
        <w:tc>
          <w:tcPr>
            <w:tcW w:w="1860" w:type="dxa"/>
            <w:shd w:val="clear" w:color="auto" w:fill="E7F0F9"/>
            <w:tcMar>
              <w:top w:w="0" w:type="dxa"/>
              <w:bottom w:w="0" w:type="dxa"/>
            </w:tcMar>
            <w:vAlign w:val="center"/>
          </w:tcPr>
          <w:p w14:paraId="569BED09" w14:textId="77777777" w:rsidR="00BB69DB" w:rsidRDefault="00BB69DB">
            <w:pPr>
              <w:keepNext/>
              <w:keepLines/>
              <w:jc w:val="center"/>
            </w:pPr>
            <w:r>
              <w:rPr>
                <w:b/>
                <w:sz w:val="18"/>
              </w:rPr>
              <w:t>Stanje 1. siječnja</w:t>
            </w:r>
          </w:p>
        </w:tc>
        <w:tc>
          <w:tcPr>
            <w:tcW w:w="1860" w:type="dxa"/>
            <w:shd w:val="clear" w:color="auto" w:fill="E7F0F9"/>
            <w:tcMar>
              <w:top w:w="0" w:type="dxa"/>
              <w:bottom w:w="0" w:type="dxa"/>
            </w:tcMar>
            <w:vAlign w:val="center"/>
          </w:tcPr>
          <w:p w14:paraId="36E167C2" w14:textId="77777777" w:rsidR="00BB69DB" w:rsidRDefault="00BB69DB">
            <w:pPr>
              <w:keepNext/>
              <w:keepLines/>
              <w:jc w:val="center"/>
            </w:pPr>
            <w:r>
              <w:rPr>
                <w:b/>
                <w:sz w:val="18"/>
              </w:rPr>
              <w:t>Stanje 31. prosinca</w:t>
            </w:r>
          </w:p>
        </w:tc>
        <w:tc>
          <w:tcPr>
            <w:tcW w:w="700" w:type="dxa"/>
            <w:shd w:val="clear" w:color="auto" w:fill="E7F0F9"/>
            <w:tcMar>
              <w:top w:w="0" w:type="dxa"/>
              <w:bottom w:w="0" w:type="dxa"/>
            </w:tcMar>
            <w:vAlign w:val="center"/>
          </w:tcPr>
          <w:p w14:paraId="00565020" w14:textId="77777777" w:rsidR="00BB69DB" w:rsidRDefault="00BB69DB">
            <w:pPr>
              <w:keepNext/>
              <w:keepLines/>
              <w:jc w:val="center"/>
            </w:pPr>
            <w:r>
              <w:rPr>
                <w:b/>
                <w:sz w:val="18"/>
              </w:rPr>
              <w:t>Indeks (%)</w:t>
            </w:r>
          </w:p>
        </w:tc>
      </w:tr>
      <w:tr w:rsidR="00BB69DB" w14:paraId="067FFD13" w14:textId="77777777">
        <w:trPr>
          <w:cantSplit/>
          <w:trHeight w:val="560"/>
        </w:trPr>
        <w:tc>
          <w:tcPr>
            <w:tcW w:w="700" w:type="dxa"/>
            <w:tcMar>
              <w:top w:w="0" w:type="dxa"/>
              <w:bottom w:w="0" w:type="dxa"/>
            </w:tcMar>
            <w:vAlign w:val="center"/>
          </w:tcPr>
          <w:p w14:paraId="381D32F8" w14:textId="77777777" w:rsidR="00BB69DB" w:rsidRDefault="00BB69DB">
            <w:pPr>
              <w:keepNext/>
              <w:keepLines/>
            </w:pPr>
            <w:r>
              <w:rPr>
                <w:sz w:val="18"/>
              </w:rPr>
              <w:t>15</w:t>
            </w:r>
          </w:p>
        </w:tc>
        <w:tc>
          <w:tcPr>
            <w:tcW w:w="3180" w:type="dxa"/>
            <w:tcMar>
              <w:top w:w="0" w:type="dxa"/>
              <w:bottom w:w="0" w:type="dxa"/>
            </w:tcMar>
            <w:vAlign w:val="center"/>
          </w:tcPr>
          <w:p w14:paraId="53393318" w14:textId="77777777" w:rsidR="00BB69DB" w:rsidRDefault="00BB69DB">
            <w:pPr>
              <w:keepNext/>
              <w:keepLines/>
            </w:pPr>
            <w:r>
              <w:rPr>
                <w:sz w:val="18"/>
              </w:rPr>
              <w:t>Financijski instrumenti - dionice i udjeli u glavnici (šifre 15X1+15X2-159)</w:t>
            </w:r>
          </w:p>
        </w:tc>
        <w:tc>
          <w:tcPr>
            <w:tcW w:w="700" w:type="dxa"/>
            <w:tcMar>
              <w:top w:w="0" w:type="dxa"/>
              <w:bottom w:w="0" w:type="dxa"/>
            </w:tcMar>
            <w:vAlign w:val="center"/>
          </w:tcPr>
          <w:p w14:paraId="5469F68F" w14:textId="77777777" w:rsidR="00BB69DB" w:rsidRDefault="00BB69DB">
            <w:pPr>
              <w:keepNext/>
              <w:keepLines/>
            </w:pPr>
            <w:r>
              <w:rPr>
                <w:sz w:val="18"/>
              </w:rPr>
              <w:t>15</w:t>
            </w:r>
          </w:p>
        </w:tc>
        <w:tc>
          <w:tcPr>
            <w:tcW w:w="1860" w:type="dxa"/>
            <w:tcMar>
              <w:top w:w="0" w:type="dxa"/>
              <w:bottom w:w="0" w:type="dxa"/>
            </w:tcMar>
            <w:vAlign w:val="center"/>
          </w:tcPr>
          <w:p w14:paraId="0024B9CC" w14:textId="77777777" w:rsidR="00BB69DB" w:rsidRDefault="00BB69DB">
            <w:pPr>
              <w:keepNext/>
              <w:keepLines/>
              <w:jc w:val="right"/>
            </w:pPr>
            <w:r>
              <w:rPr>
                <w:sz w:val="18"/>
              </w:rPr>
              <w:t>39.285.951,29</w:t>
            </w:r>
          </w:p>
        </w:tc>
        <w:tc>
          <w:tcPr>
            <w:tcW w:w="1860" w:type="dxa"/>
            <w:tcMar>
              <w:top w:w="0" w:type="dxa"/>
              <w:bottom w:w="0" w:type="dxa"/>
            </w:tcMar>
            <w:vAlign w:val="center"/>
          </w:tcPr>
          <w:p w14:paraId="1BF88587" w14:textId="77777777" w:rsidR="00BB69DB" w:rsidRDefault="00BB69DB">
            <w:pPr>
              <w:keepNext/>
              <w:keepLines/>
              <w:jc w:val="right"/>
            </w:pPr>
            <w:r>
              <w:rPr>
                <w:sz w:val="18"/>
              </w:rPr>
              <w:t>39.287.601,29</w:t>
            </w:r>
          </w:p>
        </w:tc>
        <w:tc>
          <w:tcPr>
            <w:tcW w:w="700" w:type="dxa"/>
            <w:tcMar>
              <w:top w:w="0" w:type="dxa"/>
              <w:bottom w:w="0" w:type="dxa"/>
            </w:tcMar>
            <w:vAlign w:val="center"/>
          </w:tcPr>
          <w:p w14:paraId="28274B49" w14:textId="77777777" w:rsidR="00BB69DB" w:rsidRDefault="00BB69DB">
            <w:pPr>
              <w:keepNext/>
              <w:keepLines/>
              <w:jc w:val="right"/>
            </w:pPr>
            <w:r>
              <w:rPr>
                <w:sz w:val="18"/>
              </w:rPr>
              <w:t>100,0</w:t>
            </w:r>
          </w:p>
        </w:tc>
      </w:tr>
    </w:tbl>
    <w:p w14:paraId="771C754D" w14:textId="77777777" w:rsidR="00BB69DB" w:rsidRDefault="00BB69DB"/>
    <w:p w14:paraId="19CCFC0B" w14:textId="77777777" w:rsidR="00BB69DB" w:rsidRDefault="00BB69DB" w:rsidP="00E161EF">
      <w:pPr>
        <w:jc w:val="both"/>
      </w:pPr>
      <w:r>
        <w:t>Temeljem Odluke Vlade RH o odobrenju povećanja temeljnog kapitala društvu Croatia Airlines d.d. od 22. prosinca 2022. godine, Ministarstvo i Croatia Airlines d.d. sklopili su Ugovor o ulaganju u dioničko društvo Croatia Airlines na način da Republika Hrvatska izvrši dodatno ulaganje u temeljni kapital Croatia Airlines ulogom u novcu u iznosu od 39.285.951.29 EUR.</w:t>
      </w:r>
    </w:p>
    <w:p w14:paraId="67EDE937" w14:textId="77777777" w:rsidR="00BB69DB" w:rsidRDefault="00BB69DB" w:rsidP="00E161EF">
      <w:pPr>
        <w:jc w:val="both"/>
      </w:pPr>
      <w:r>
        <w:t>U 2025. godini uplaćen je osnivački ulog za zračnu luku Srce Dalmacije d.o.o. u iznosu od 1.650,00 EUR.</w:t>
      </w:r>
    </w:p>
    <w:p w14:paraId="2D18DE2A" w14:textId="77777777" w:rsidR="00BB69DB" w:rsidRDefault="00BB69DB"/>
    <w:p w14:paraId="2E0FBC6A" w14:textId="77777777" w:rsidR="00BB69DB" w:rsidRDefault="00BB69DB">
      <w:pPr>
        <w:keepNext/>
        <w:jc w:val="center"/>
      </w:pPr>
      <w:r>
        <w:rPr>
          <w:sz w:val="28"/>
        </w:rPr>
        <w:lastRenderedPageBreak/>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69DB" w14:paraId="16682888" w14:textId="77777777">
        <w:trPr>
          <w:cantSplit/>
        </w:trPr>
        <w:tc>
          <w:tcPr>
            <w:tcW w:w="700" w:type="dxa"/>
            <w:shd w:val="clear" w:color="auto" w:fill="E7F0F9"/>
            <w:tcMar>
              <w:top w:w="0" w:type="dxa"/>
              <w:bottom w:w="0" w:type="dxa"/>
            </w:tcMar>
            <w:vAlign w:val="center"/>
          </w:tcPr>
          <w:p w14:paraId="2CBBE91A" w14:textId="77777777" w:rsidR="00BB69DB" w:rsidRDefault="00BB69DB">
            <w:pPr>
              <w:keepNext/>
              <w:keepLines/>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EA65EF" w14:textId="77777777" w:rsidR="00BB69DB" w:rsidRDefault="00BB69DB">
            <w:pPr>
              <w:keepNext/>
              <w:keepLines/>
              <w:jc w:val="center"/>
            </w:pPr>
            <w:r>
              <w:rPr>
                <w:b/>
                <w:sz w:val="18"/>
              </w:rPr>
              <w:t>Opis stavke</w:t>
            </w:r>
          </w:p>
        </w:tc>
        <w:tc>
          <w:tcPr>
            <w:tcW w:w="700" w:type="dxa"/>
            <w:shd w:val="clear" w:color="auto" w:fill="E7F0F9"/>
            <w:tcMar>
              <w:top w:w="0" w:type="dxa"/>
              <w:bottom w:w="0" w:type="dxa"/>
            </w:tcMar>
            <w:vAlign w:val="center"/>
          </w:tcPr>
          <w:p w14:paraId="1E555359" w14:textId="77777777" w:rsidR="00BB69DB" w:rsidRDefault="00BB69DB">
            <w:pPr>
              <w:keepNext/>
              <w:keepLines/>
              <w:jc w:val="center"/>
            </w:pPr>
            <w:r>
              <w:rPr>
                <w:b/>
                <w:sz w:val="18"/>
              </w:rPr>
              <w:t>Šifra</w:t>
            </w:r>
          </w:p>
        </w:tc>
        <w:tc>
          <w:tcPr>
            <w:tcW w:w="1860" w:type="dxa"/>
            <w:shd w:val="clear" w:color="auto" w:fill="E7F0F9"/>
            <w:tcMar>
              <w:top w:w="0" w:type="dxa"/>
              <w:bottom w:w="0" w:type="dxa"/>
            </w:tcMar>
            <w:vAlign w:val="center"/>
          </w:tcPr>
          <w:p w14:paraId="4A6B48C9" w14:textId="77777777" w:rsidR="00BB69DB" w:rsidRDefault="00BB69DB">
            <w:pPr>
              <w:keepNext/>
              <w:keepLines/>
              <w:jc w:val="center"/>
            </w:pPr>
            <w:r>
              <w:rPr>
                <w:b/>
                <w:sz w:val="18"/>
              </w:rPr>
              <w:t>Stanje 1. siječnja</w:t>
            </w:r>
          </w:p>
        </w:tc>
        <w:tc>
          <w:tcPr>
            <w:tcW w:w="1860" w:type="dxa"/>
            <w:shd w:val="clear" w:color="auto" w:fill="E7F0F9"/>
            <w:tcMar>
              <w:top w:w="0" w:type="dxa"/>
              <w:bottom w:w="0" w:type="dxa"/>
            </w:tcMar>
            <w:vAlign w:val="center"/>
          </w:tcPr>
          <w:p w14:paraId="10D41D7D" w14:textId="77777777" w:rsidR="00BB69DB" w:rsidRDefault="00BB69DB">
            <w:pPr>
              <w:keepNext/>
              <w:keepLines/>
              <w:jc w:val="center"/>
            </w:pPr>
            <w:r>
              <w:rPr>
                <w:b/>
                <w:sz w:val="18"/>
              </w:rPr>
              <w:t>Stanje 31. prosinca</w:t>
            </w:r>
          </w:p>
        </w:tc>
        <w:tc>
          <w:tcPr>
            <w:tcW w:w="700" w:type="dxa"/>
            <w:shd w:val="clear" w:color="auto" w:fill="E7F0F9"/>
            <w:tcMar>
              <w:top w:w="0" w:type="dxa"/>
              <w:bottom w:w="0" w:type="dxa"/>
            </w:tcMar>
            <w:vAlign w:val="center"/>
          </w:tcPr>
          <w:p w14:paraId="347C0F6A" w14:textId="77777777" w:rsidR="00BB69DB" w:rsidRDefault="00BB69DB">
            <w:pPr>
              <w:keepNext/>
              <w:keepLines/>
              <w:jc w:val="center"/>
            </w:pPr>
            <w:r>
              <w:rPr>
                <w:b/>
                <w:sz w:val="18"/>
              </w:rPr>
              <w:t>Indeks (%)</w:t>
            </w:r>
          </w:p>
        </w:tc>
      </w:tr>
      <w:tr w:rsidR="00BB69DB" w14:paraId="1608EE94" w14:textId="77777777">
        <w:trPr>
          <w:cantSplit/>
          <w:trHeight w:val="560"/>
        </w:trPr>
        <w:tc>
          <w:tcPr>
            <w:tcW w:w="700" w:type="dxa"/>
            <w:tcMar>
              <w:top w:w="0" w:type="dxa"/>
              <w:bottom w:w="0" w:type="dxa"/>
            </w:tcMar>
            <w:vAlign w:val="center"/>
          </w:tcPr>
          <w:p w14:paraId="34E7A6C6" w14:textId="77777777" w:rsidR="00BB69DB" w:rsidRDefault="00BB69DB">
            <w:pPr>
              <w:keepNext/>
              <w:keepLines/>
            </w:pPr>
            <w:r>
              <w:rPr>
                <w:sz w:val="18"/>
              </w:rPr>
              <w:t>16</w:t>
            </w:r>
          </w:p>
        </w:tc>
        <w:tc>
          <w:tcPr>
            <w:tcW w:w="3180" w:type="dxa"/>
            <w:tcMar>
              <w:top w:w="0" w:type="dxa"/>
              <w:bottom w:w="0" w:type="dxa"/>
            </w:tcMar>
            <w:vAlign w:val="center"/>
          </w:tcPr>
          <w:p w14:paraId="35F5CAB4" w14:textId="77777777" w:rsidR="00BB69DB" w:rsidRDefault="00BB69DB">
            <w:pPr>
              <w:keepNext/>
              <w:keepLines/>
            </w:pPr>
            <w:r>
              <w:rPr>
                <w:sz w:val="18"/>
              </w:rPr>
              <w:t>Potraživanja za prihode poslovanja (šifre 161 do 163 + 164 do 168-169)</w:t>
            </w:r>
          </w:p>
        </w:tc>
        <w:tc>
          <w:tcPr>
            <w:tcW w:w="700" w:type="dxa"/>
            <w:tcMar>
              <w:top w:w="0" w:type="dxa"/>
              <w:bottom w:w="0" w:type="dxa"/>
            </w:tcMar>
            <w:vAlign w:val="center"/>
          </w:tcPr>
          <w:p w14:paraId="316E2DE3" w14:textId="77777777" w:rsidR="00BB69DB" w:rsidRDefault="00BB69DB">
            <w:pPr>
              <w:keepNext/>
              <w:keepLines/>
            </w:pPr>
            <w:r>
              <w:rPr>
                <w:sz w:val="18"/>
              </w:rPr>
              <w:t>16</w:t>
            </w:r>
          </w:p>
        </w:tc>
        <w:tc>
          <w:tcPr>
            <w:tcW w:w="1860" w:type="dxa"/>
            <w:tcMar>
              <w:top w:w="0" w:type="dxa"/>
              <w:bottom w:w="0" w:type="dxa"/>
            </w:tcMar>
            <w:vAlign w:val="center"/>
          </w:tcPr>
          <w:p w14:paraId="6AE336C7" w14:textId="77777777" w:rsidR="00BB69DB" w:rsidRDefault="00BB69DB">
            <w:pPr>
              <w:keepNext/>
              <w:keepLines/>
              <w:jc w:val="right"/>
            </w:pPr>
            <w:r>
              <w:rPr>
                <w:sz w:val="18"/>
              </w:rPr>
              <w:t>60.502.773,54</w:t>
            </w:r>
          </w:p>
        </w:tc>
        <w:tc>
          <w:tcPr>
            <w:tcW w:w="1860" w:type="dxa"/>
            <w:tcMar>
              <w:top w:w="0" w:type="dxa"/>
              <w:bottom w:w="0" w:type="dxa"/>
            </w:tcMar>
            <w:vAlign w:val="center"/>
          </w:tcPr>
          <w:p w14:paraId="29B95DEA" w14:textId="77777777" w:rsidR="00BB69DB" w:rsidRDefault="00BB69DB">
            <w:pPr>
              <w:keepNext/>
              <w:keepLines/>
              <w:jc w:val="right"/>
            </w:pPr>
            <w:r>
              <w:rPr>
                <w:sz w:val="18"/>
              </w:rPr>
              <w:t>124.690.576,52</w:t>
            </w:r>
          </w:p>
        </w:tc>
        <w:tc>
          <w:tcPr>
            <w:tcW w:w="700" w:type="dxa"/>
            <w:tcMar>
              <w:top w:w="0" w:type="dxa"/>
              <w:bottom w:w="0" w:type="dxa"/>
            </w:tcMar>
            <w:vAlign w:val="center"/>
          </w:tcPr>
          <w:p w14:paraId="4754A9F5" w14:textId="77777777" w:rsidR="00BB69DB" w:rsidRDefault="00BB69DB">
            <w:pPr>
              <w:keepNext/>
              <w:keepLines/>
              <w:jc w:val="right"/>
            </w:pPr>
            <w:r>
              <w:rPr>
                <w:sz w:val="18"/>
              </w:rPr>
              <w:t>206,1</w:t>
            </w:r>
          </w:p>
        </w:tc>
      </w:tr>
    </w:tbl>
    <w:p w14:paraId="6FB55DAF" w14:textId="77777777" w:rsidR="00BB69DB" w:rsidRDefault="00BB69DB"/>
    <w:p w14:paraId="1BD7EC13" w14:textId="77777777" w:rsidR="00BB69DB" w:rsidRDefault="00BB69DB" w:rsidP="00E161EF">
      <w:pPr>
        <w:jc w:val="both"/>
      </w:pPr>
      <w:r>
        <w:t xml:space="preserve">Potraživanja za pomoći iz inozemstva (530.073,96 EUR) odnose se na potraživanja za rashode financirane iz izvora 559 (Ostale refundacije iz pomoći EU) za projekte K810067 CEF 2014.-2020. Priprema Fairway2 radova na koridoru Rajna-Dunav, T819077 CEF PSA </w:t>
      </w:r>
      <w:proofErr w:type="spellStart"/>
      <w:r>
        <w:t>Napcore</w:t>
      </w:r>
      <w:proofErr w:type="spellEnd"/>
      <w:r>
        <w:t xml:space="preserve"> programska podrška za provedbu mehanizma koordinacije za objedinjavanje nacionalnih pristupnih točaka, K819082 CEF 2014.-2020. RIS COMEX2 primjena RIS-a u upravljanju prometnim koridorima i za podnesene ZNS-ove u 2025. za 2 projekta (T820083Mehanizam zaštite osjetljivih područja Jadrana ASAP i T587084 INTERREG projekt ACTIVE2PUBLIC Transport- podrška boljem kombiniranju biciklizma, pješačenja i javnog prijevoza u dunavskoj regiji).</w:t>
      </w:r>
    </w:p>
    <w:p w14:paraId="45886527" w14:textId="77777777" w:rsidR="00BB69DB" w:rsidRDefault="00BB69DB" w:rsidP="00E161EF">
      <w:pPr>
        <w:jc w:val="both"/>
      </w:pPr>
      <w:r>
        <w:t>Obračunate su zatezne kamate trgovačkim društvima po protestiranim jamstvima (271.013,36 EUR).</w:t>
      </w:r>
    </w:p>
    <w:p w14:paraId="1C9D5140" w14:textId="77777777" w:rsidR="00BB69DB" w:rsidRDefault="00BB69DB" w:rsidP="00E161EF">
      <w:pPr>
        <w:jc w:val="both"/>
      </w:pPr>
      <w:r>
        <w:t xml:space="preserve">Temeljem ugovora o koncesijskoj naknadi na pomorskom dobru, evidentirana su potraživanja od koncesionara. Ministarstvo je na 31. 12. 2025. godine imalo evidentirana potraživanja od koncesijskih naknada u pomorskom prometu u iznosu od 4.414.296,20 EUR. Najznačajnija potraživanja po ugovorima o koncesiji na pomorskom dobru odnose se Brodograđevnu industriju Split d.d., Uljanik brodogradnja 1856 d.o.o. Po koncesijskom ugovoru sklopljenim s Autocestom Zagreb-Macelj, evidentirana su potraživanja za kamate za </w:t>
      </w:r>
      <w:proofErr w:type="spellStart"/>
      <w:r>
        <w:t>Sharelolder</w:t>
      </w:r>
      <w:proofErr w:type="spellEnd"/>
      <w:r>
        <w:t xml:space="preserve"> </w:t>
      </w:r>
      <w:proofErr w:type="spellStart"/>
      <w:r>
        <w:t>loan</w:t>
      </w:r>
      <w:proofErr w:type="spellEnd"/>
      <w:r>
        <w:t xml:space="preserve"> i potraživanja za kamate za isplaćen TSCA (31.328.538,62 EUR), po ugovorima o dioničarskom zajmu sklopljenim s Croatia Airlines Ministarstvo je evidentiralo potraživanja za kamate u iznosu od 429.986,42 EUR. Sukladno Pomorskom zakoniku, 50% naknade za sigurnost plovidbe je prihod Državnog proračuna, a 50% naknade je namjenski prihod Ministarstva. Na dan 31.12.2025. godine Ministarstvo ima potraživanje temeljem izdanih obračuna naknada za sigurnost plovidbe u iznosu od 1.660.187,87 EUR. Temeljem odredbi Pomorskog zakonika, vlasnici brodica koji nisu 2 godine uzastopno uplatili naknadu za sigurnost plovidbe, brisani su iz registra upisnika brodova. Za neplaćene kazne za prometne prekršaje pokrenuti su ovršni i sudski postupci.</w:t>
      </w:r>
    </w:p>
    <w:p w14:paraId="5A42D40C" w14:textId="77777777" w:rsidR="00BB69DB" w:rsidRDefault="00BB69DB" w:rsidP="00E161EF">
      <w:pPr>
        <w:jc w:val="both"/>
      </w:pPr>
      <w:r>
        <w:t>Ukupna potraživanja za uplaćene namjenske prihode su 11.920.304,22 EUR, a odnose se na: uplaćene namjenske prihode od naknade za sigurnost plovidbe i naknade za izobrazbu pomoraca, sukladno Pomorskom zakoniku (6.646.295,06 EUR), uplaćen predujam za Projekt DG ECHO Adriatic 2017 (25.640,98 EUR), uplaćen predujam za projekt CEF 2014.-2020. Izrada studije utjecaja na okoliš i projektne dokumentacije za kritičnu dionicu rijeke Save (10,00 EUR), uplaćen predujam za projekt CEF – tehnička pomoć 2022.-2024. (93.588,26 EUR), uplaćen predujam za projekt CEF – tehnička pomoć 2025.-2027. (414.602,47 EUR), uplaćeni predujam za projekt CEF  </w:t>
      </w:r>
      <w:proofErr w:type="spellStart"/>
      <w:r>
        <w:t>Napccore</w:t>
      </w:r>
      <w:proofErr w:type="spellEnd"/>
      <w:r>
        <w:t xml:space="preserve"> X (42.925,34 EUR), uplaćeni predujam za projekt RIS COMRX2-primjena RIS-a u upravljanju prometnim koridorima (187.742,18 EUR), primljeni predujam za projekt CYSCROMS </w:t>
      </w:r>
      <w:proofErr w:type="spellStart"/>
      <w:r>
        <w:t>Kibernetička</w:t>
      </w:r>
      <w:proofErr w:type="spellEnd"/>
      <w:r>
        <w:t xml:space="preserve"> sigurnost u pomorskom prometu (227.213,23 EUR), uplaćeni predujam za projekt CEF X4ITS – srednjoeuropska prekogranična suradnja za inteligentne transportne sustave (8.321,48 EUR), uplaćeni predujam za projekt CEF </w:t>
      </w:r>
      <w:proofErr w:type="spellStart"/>
      <w:r>
        <w:t>Fairway</w:t>
      </w:r>
      <w:proofErr w:type="spellEnd"/>
      <w:r>
        <w:t xml:space="preserve"> Danube 2-budući koraci unaprjeđenje plovidbe na Dunavu (1.543,86 EUR), primljeni predujam za projekt CEF – </w:t>
      </w:r>
      <w:proofErr w:type="spellStart"/>
      <w:r>
        <w:t>Crocodille</w:t>
      </w:r>
      <w:proofErr w:type="spellEnd"/>
      <w:r>
        <w:t xml:space="preserve"> (11.127,57 EUR),uplaćeni predujam za projekt CEF SAWA uređenje plovnog puta rijeke Save (3.050.490,63 EUR) prenesena sredstva iz MUP-a za opremanje inspekcije opremom i ostalim uređajima (825.854,02 EUR), uplaćenu donaciju za izgradnju izložbene prostorije na pelješkom mostu (32.153,75 EUR) te za uplaćene vlastite prihode i jamstva.</w:t>
      </w:r>
    </w:p>
    <w:p w14:paraId="50CDBB5B" w14:textId="77777777" w:rsidR="00BB69DB" w:rsidRDefault="00BB69DB" w:rsidP="00E161EF">
      <w:pPr>
        <w:jc w:val="both"/>
      </w:pPr>
      <w:r>
        <w:t xml:space="preserve">Protestirano je sedam jamstva dodijeljenih u sklopu Programa dodjele državnih potpora sektoru mora, prometa i prometne infrastrukture u povezanim djelatnostima u </w:t>
      </w:r>
      <w:proofErr w:type="spellStart"/>
      <w:r>
        <w:t>pandemiji</w:t>
      </w:r>
      <w:proofErr w:type="spellEnd"/>
      <w:r>
        <w:t xml:space="preserve"> COVID-19, te su evidentirana potraživanja za povrat danih pomoći trgovačkim društvima po protestiranim jamstvima.</w:t>
      </w:r>
    </w:p>
    <w:p w14:paraId="7F997A94" w14:textId="77777777" w:rsidR="00BB69DB" w:rsidRDefault="00BB69DB" w:rsidP="00E161EF">
      <w:pPr>
        <w:jc w:val="both"/>
      </w:pPr>
      <w:r>
        <w:lastRenderedPageBreak/>
        <w:t xml:space="preserve">Na temelju Odluke o prihvaćanju nagodbe između Republike Hrvatske i HŽ Infrastrukture d.o.o. o uređenju imovinsko-pravnih pitanja preostalih nakon podjele HŽ-Hrvatske željeznice d.o.o. od 27. prosinca 2024., dana 7. siječnja 2025. godine sklopljena nagodba između RH i društva HŽ Infrastruktura d.o.o. U skladu s odredbama članka 5.2. Nagodbe iznos od 38.414.622,31 eura predstavlja iznos koji Republika Hrvatska ima namiriti društvu HŽ Infrastruktura d.o.o. isplatom na žiro račun društva HŽ Infrastruktura d.o.o., i to u 2025. godini iznos od 25.000.000,00 eura, te u 2026. godini iznos od 13.414.622,31 eura. Odlukom o odobrenju povećanja temeljnog kapitala društva HŽ Infrastruktura d.o.o. s osnove namire iz sklopljene Nagodbe između Republike Hrvatske i društva HŽ Infrastruktura d.o.o. o uređenju imovinsko-pravnih pitanja preostalih nakon podjele HŽ-Hrvatske željeznice d.o.o. odobreno je povećanje temeljnog kapitala društva HŽ Infrastruktura d.o.o. Iznos od 25.000.000,00 eura po Nagodbi, Ministarstvo mora, prometa i infrastrukture isplatilo je na žiro račun društva HŽ Infrastruktura </w:t>
      </w:r>
      <w:proofErr w:type="spellStart"/>
      <w:r>
        <w:t>d.o.o.Na</w:t>
      </w:r>
      <w:proofErr w:type="spellEnd"/>
      <w:r>
        <w:t xml:space="preserve"> temelju Odluke o prihvaćanju nagodbe između Republike Hrvatske i HŽ Putničkog prijevoza d.o.o. o uređenju imovinsko-pravnih pitanja preostalih nakon podjele HŽ-Hrvatske željeznice d.o.o. dana 11. veljače  2025. godine sklopljena nagodba između Republike Hrvatske i društva HŽ Putnički prijevoz d.o.o. U skladu s odredbama članka 5.2. Nagodbe iznos od 3.168.115,10 EUR je isplaćen društvu HŽ Putnički prijevoz d.o.o. u 2025. godini kao povećanje temeljnog kapitala.</w:t>
      </w:r>
    </w:p>
    <w:p w14:paraId="3E008EE1" w14:textId="77777777" w:rsidR="00BB69DB" w:rsidRDefault="00BB69DB" w:rsidP="00E161EF">
      <w:pPr>
        <w:jc w:val="both"/>
      </w:pPr>
      <w:r>
        <w:t xml:space="preserve">Temeljem Odluke Vlade RH o odobrenju povećanja temeljnog kapitala društva Croatia Airlines od 12.12.2025. izvršena je dokapitalizacija u iznosu od 43 </w:t>
      </w:r>
      <w:proofErr w:type="spellStart"/>
      <w:r>
        <w:t>mil</w:t>
      </w:r>
      <w:proofErr w:type="spellEnd"/>
      <w:r>
        <w:t xml:space="preserve"> EUR pretvaranjem potraživanja po danim zajmovima i kamatama u kapital. Budući da do 31.12.2025. u Trgovačkom sudu nije evidentirano povećanje kapitala društava HŽI, HŽ PP i Croatia Airlines, uplaćena sredstva za dokapitalizaciju nisu evidentirana na skupini konta 15 nego na ostalim potraživanjima-rezerve u kapitalu. Nakon evidentiranja  dokapitalizacije u Trgovačkom sudu dokapitalizacija će se evidentirati na skupini konta 15.</w:t>
      </w:r>
    </w:p>
    <w:p w14:paraId="3676252E" w14:textId="77777777" w:rsidR="00BB69DB" w:rsidRDefault="00BB69DB" w:rsidP="00E161EF">
      <w:pPr>
        <w:jc w:val="both"/>
      </w:pPr>
      <w:r>
        <w:t> </w:t>
      </w:r>
    </w:p>
    <w:p w14:paraId="6D7D2E93" w14:textId="77777777" w:rsidR="00BB69DB" w:rsidRDefault="00BB69DB" w:rsidP="00E161EF">
      <w:pPr>
        <w:jc w:val="both"/>
      </w:pPr>
    </w:p>
    <w:p w14:paraId="7670A793" w14:textId="77777777" w:rsidR="00BB69DB" w:rsidRDefault="00BB69DB">
      <w:pPr>
        <w:keepNext/>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69DB" w14:paraId="0BACFBDE" w14:textId="77777777">
        <w:trPr>
          <w:cantSplit/>
        </w:trPr>
        <w:tc>
          <w:tcPr>
            <w:tcW w:w="700" w:type="dxa"/>
            <w:shd w:val="clear" w:color="auto" w:fill="E7F0F9"/>
            <w:tcMar>
              <w:top w:w="0" w:type="dxa"/>
              <w:bottom w:w="0" w:type="dxa"/>
            </w:tcMar>
            <w:vAlign w:val="center"/>
          </w:tcPr>
          <w:p w14:paraId="5AD99B13" w14:textId="77777777" w:rsidR="00BB69DB" w:rsidRDefault="00BB69DB">
            <w:pPr>
              <w:keepNext/>
              <w:keepLines/>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1F1EA9" w14:textId="77777777" w:rsidR="00BB69DB" w:rsidRDefault="00BB69DB">
            <w:pPr>
              <w:keepNext/>
              <w:keepLines/>
              <w:jc w:val="center"/>
            </w:pPr>
            <w:r>
              <w:rPr>
                <w:b/>
                <w:sz w:val="18"/>
              </w:rPr>
              <w:t>Opis stavke</w:t>
            </w:r>
          </w:p>
        </w:tc>
        <w:tc>
          <w:tcPr>
            <w:tcW w:w="700" w:type="dxa"/>
            <w:shd w:val="clear" w:color="auto" w:fill="E7F0F9"/>
            <w:tcMar>
              <w:top w:w="0" w:type="dxa"/>
              <w:bottom w:w="0" w:type="dxa"/>
            </w:tcMar>
            <w:vAlign w:val="center"/>
          </w:tcPr>
          <w:p w14:paraId="69E835C6" w14:textId="77777777" w:rsidR="00BB69DB" w:rsidRDefault="00BB69DB">
            <w:pPr>
              <w:keepNext/>
              <w:keepLines/>
              <w:jc w:val="center"/>
            </w:pPr>
            <w:r>
              <w:rPr>
                <w:b/>
                <w:sz w:val="18"/>
              </w:rPr>
              <w:t>Šifra</w:t>
            </w:r>
          </w:p>
        </w:tc>
        <w:tc>
          <w:tcPr>
            <w:tcW w:w="1860" w:type="dxa"/>
            <w:shd w:val="clear" w:color="auto" w:fill="E7F0F9"/>
            <w:tcMar>
              <w:top w:w="0" w:type="dxa"/>
              <w:bottom w:w="0" w:type="dxa"/>
            </w:tcMar>
            <w:vAlign w:val="center"/>
          </w:tcPr>
          <w:p w14:paraId="0C63DADA" w14:textId="77777777" w:rsidR="00BB69DB" w:rsidRDefault="00BB69DB">
            <w:pPr>
              <w:keepNext/>
              <w:keepLines/>
              <w:jc w:val="center"/>
            </w:pPr>
            <w:r>
              <w:rPr>
                <w:b/>
                <w:sz w:val="18"/>
              </w:rPr>
              <w:t>Stanje 1. siječnja</w:t>
            </w:r>
          </w:p>
        </w:tc>
        <w:tc>
          <w:tcPr>
            <w:tcW w:w="1860" w:type="dxa"/>
            <w:shd w:val="clear" w:color="auto" w:fill="E7F0F9"/>
            <w:tcMar>
              <w:top w:w="0" w:type="dxa"/>
              <w:bottom w:w="0" w:type="dxa"/>
            </w:tcMar>
            <w:vAlign w:val="center"/>
          </w:tcPr>
          <w:p w14:paraId="6DCFA294" w14:textId="77777777" w:rsidR="00BB69DB" w:rsidRDefault="00BB69DB">
            <w:pPr>
              <w:keepNext/>
              <w:keepLines/>
              <w:jc w:val="center"/>
            </w:pPr>
            <w:r>
              <w:rPr>
                <w:b/>
                <w:sz w:val="18"/>
              </w:rPr>
              <w:t>Stanje 31. prosinca</w:t>
            </w:r>
          </w:p>
        </w:tc>
        <w:tc>
          <w:tcPr>
            <w:tcW w:w="700" w:type="dxa"/>
            <w:shd w:val="clear" w:color="auto" w:fill="E7F0F9"/>
            <w:tcMar>
              <w:top w:w="0" w:type="dxa"/>
              <w:bottom w:w="0" w:type="dxa"/>
            </w:tcMar>
            <w:vAlign w:val="center"/>
          </w:tcPr>
          <w:p w14:paraId="519CE93F" w14:textId="77777777" w:rsidR="00BB69DB" w:rsidRDefault="00BB69DB">
            <w:pPr>
              <w:keepNext/>
              <w:keepLines/>
              <w:jc w:val="center"/>
            </w:pPr>
            <w:r>
              <w:rPr>
                <w:b/>
                <w:sz w:val="18"/>
              </w:rPr>
              <w:t>Indeks (%)</w:t>
            </w:r>
          </w:p>
        </w:tc>
      </w:tr>
      <w:tr w:rsidR="00BB69DB" w14:paraId="5A9E4B9C" w14:textId="77777777">
        <w:trPr>
          <w:cantSplit/>
          <w:trHeight w:val="560"/>
        </w:trPr>
        <w:tc>
          <w:tcPr>
            <w:tcW w:w="700" w:type="dxa"/>
            <w:tcMar>
              <w:top w:w="0" w:type="dxa"/>
              <w:bottom w:w="0" w:type="dxa"/>
            </w:tcMar>
            <w:vAlign w:val="center"/>
          </w:tcPr>
          <w:p w14:paraId="06472F4C" w14:textId="77777777" w:rsidR="00BB69DB" w:rsidRDefault="00BB69DB">
            <w:pPr>
              <w:keepNext/>
              <w:keepLines/>
            </w:pPr>
            <w:r>
              <w:rPr>
                <w:sz w:val="18"/>
              </w:rPr>
              <w:t>19</w:t>
            </w:r>
          </w:p>
        </w:tc>
        <w:tc>
          <w:tcPr>
            <w:tcW w:w="3180" w:type="dxa"/>
            <w:tcMar>
              <w:top w:w="0" w:type="dxa"/>
              <w:bottom w:w="0" w:type="dxa"/>
            </w:tcMar>
            <w:vAlign w:val="center"/>
          </w:tcPr>
          <w:p w14:paraId="73EE1A33" w14:textId="77777777" w:rsidR="00BB69DB" w:rsidRDefault="00BB69DB">
            <w:pPr>
              <w:keepNext/>
              <w:keepLines/>
            </w:pPr>
            <w:r>
              <w:rPr>
                <w:sz w:val="18"/>
              </w:rPr>
              <w:t>Rashodi budućih razdoblja i nedospjela naplata prihoda (aktivna vremenska razgraničenja) (šifre 191 do 193)</w:t>
            </w:r>
          </w:p>
        </w:tc>
        <w:tc>
          <w:tcPr>
            <w:tcW w:w="700" w:type="dxa"/>
            <w:tcMar>
              <w:top w:w="0" w:type="dxa"/>
              <w:bottom w:w="0" w:type="dxa"/>
            </w:tcMar>
            <w:vAlign w:val="center"/>
          </w:tcPr>
          <w:p w14:paraId="106FFB16" w14:textId="77777777" w:rsidR="00BB69DB" w:rsidRDefault="00BB69DB">
            <w:pPr>
              <w:keepNext/>
              <w:keepLines/>
            </w:pPr>
            <w:r>
              <w:rPr>
                <w:sz w:val="18"/>
              </w:rPr>
              <w:t>19</w:t>
            </w:r>
          </w:p>
        </w:tc>
        <w:tc>
          <w:tcPr>
            <w:tcW w:w="1860" w:type="dxa"/>
            <w:tcMar>
              <w:top w:w="0" w:type="dxa"/>
              <w:bottom w:w="0" w:type="dxa"/>
            </w:tcMar>
            <w:vAlign w:val="center"/>
          </w:tcPr>
          <w:p w14:paraId="3300257A" w14:textId="77777777" w:rsidR="00BB69DB" w:rsidRDefault="00BB69DB">
            <w:pPr>
              <w:keepNext/>
              <w:keepLines/>
              <w:jc w:val="right"/>
            </w:pPr>
            <w:r>
              <w:rPr>
                <w:sz w:val="18"/>
              </w:rPr>
              <w:t>34.850.833,68</w:t>
            </w:r>
          </w:p>
        </w:tc>
        <w:tc>
          <w:tcPr>
            <w:tcW w:w="1860" w:type="dxa"/>
            <w:tcMar>
              <w:top w:w="0" w:type="dxa"/>
              <w:bottom w:w="0" w:type="dxa"/>
            </w:tcMar>
            <w:vAlign w:val="center"/>
          </w:tcPr>
          <w:p w14:paraId="27AA92C9" w14:textId="77777777" w:rsidR="00BB69DB" w:rsidRDefault="00BB69DB">
            <w:pPr>
              <w:keepNext/>
              <w:keepLines/>
              <w:jc w:val="right"/>
            </w:pPr>
            <w:r>
              <w:rPr>
                <w:sz w:val="18"/>
              </w:rPr>
              <w:t>549.804,92</w:t>
            </w:r>
          </w:p>
        </w:tc>
        <w:tc>
          <w:tcPr>
            <w:tcW w:w="700" w:type="dxa"/>
            <w:tcMar>
              <w:top w:w="0" w:type="dxa"/>
              <w:bottom w:w="0" w:type="dxa"/>
            </w:tcMar>
            <w:vAlign w:val="center"/>
          </w:tcPr>
          <w:p w14:paraId="55CDFE36" w14:textId="77777777" w:rsidR="00BB69DB" w:rsidRDefault="00BB69DB">
            <w:pPr>
              <w:keepNext/>
              <w:keepLines/>
              <w:jc w:val="right"/>
            </w:pPr>
            <w:r>
              <w:rPr>
                <w:sz w:val="18"/>
              </w:rPr>
              <w:t>1,6</w:t>
            </w:r>
          </w:p>
        </w:tc>
      </w:tr>
    </w:tbl>
    <w:p w14:paraId="05C79264" w14:textId="77777777" w:rsidR="00BB69DB" w:rsidRDefault="00BB69DB"/>
    <w:p w14:paraId="5447BD53" w14:textId="77777777" w:rsidR="00BB69DB" w:rsidRDefault="00BB69DB" w:rsidP="00E161EF">
      <w:pPr>
        <w:jc w:val="both"/>
      </w:pPr>
      <w:r>
        <w:t>Plaćene članarine za 2026. godinu, licence te plaćene premije osiguranja vozila za 2026. godinu evidentirani su na unaprijed plaćenim rashodima budućih razdoblja. Ministarstvo u Misiji RH pri EU u Bruxellesu ima 3 zaposlena djelatnika za koje krajem mjeseca dostavlja sredstva za isplatu plaća, najamnina i ostalih troškova u idućem mjesecu.</w:t>
      </w:r>
    </w:p>
    <w:p w14:paraId="5F36FF6E" w14:textId="77777777" w:rsidR="00BB69DB" w:rsidRDefault="00BB69DB"/>
    <w:p w14:paraId="5BF1F67A" w14:textId="77777777" w:rsidR="00BB69DB" w:rsidRDefault="00BB69DB">
      <w:pPr>
        <w:keepNext/>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69DB" w14:paraId="34023162" w14:textId="77777777">
        <w:trPr>
          <w:cantSplit/>
        </w:trPr>
        <w:tc>
          <w:tcPr>
            <w:tcW w:w="700" w:type="dxa"/>
            <w:shd w:val="clear" w:color="auto" w:fill="E7F0F9"/>
            <w:tcMar>
              <w:top w:w="0" w:type="dxa"/>
              <w:bottom w:w="0" w:type="dxa"/>
            </w:tcMar>
            <w:vAlign w:val="center"/>
          </w:tcPr>
          <w:p w14:paraId="6C898627" w14:textId="77777777" w:rsidR="00BB69DB" w:rsidRDefault="00BB69DB">
            <w:pPr>
              <w:keepNext/>
              <w:keepLines/>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EC6C38" w14:textId="77777777" w:rsidR="00BB69DB" w:rsidRDefault="00BB69DB">
            <w:pPr>
              <w:keepNext/>
              <w:keepLines/>
              <w:jc w:val="center"/>
            </w:pPr>
            <w:r>
              <w:rPr>
                <w:b/>
                <w:sz w:val="18"/>
              </w:rPr>
              <w:t>Opis stavke</w:t>
            </w:r>
          </w:p>
        </w:tc>
        <w:tc>
          <w:tcPr>
            <w:tcW w:w="700" w:type="dxa"/>
            <w:shd w:val="clear" w:color="auto" w:fill="E7F0F9"/>
            <w:tcMar>
              <w:top w:w="0" w:type="dxa"/>
              <w:bottom w:w="0" w:type="dxa"/>
            </w:tcMar>
            <w:vAlign w:val="center"/>
          </w:tcPr>
          <w:p w14:paraId="73008977" w14:textId="77777777" w:rsidR="00BB69DB" w:rsidRDefault="00BB69DB">
            <w:pPr>
              <w:keepNext/>
              <w:keepLines/>
              <w:jc w:val="center"/>
            </w:pPr>
            <w:r>
              <w:rPr>
                <w:b/>
                <w:sz w:val="18"/>
              </w:rPr>
              <w:t>Šifra</w:t>
            </w:r>
          </w:p>
        </w:tc>
        <w:tc>
          <w:tcPr>
            <w:tcW w:w="1860" w:type="dxa"/>
            <w:shd w:val="clear" w:color="auto" w:fill="E7F0F9"/>
            <w:tcMar>
              <w:top w:w="0" w:type="dxa"/>
              <w:bottom w:w="0" w:type="dxa"/>
            </w:tcMar>
            <w:vAlign w:val="center"/>
          </w:tcPr>
          <w:p w14:paraId="76A6946F" w14:textId="77777777" w:rsidR="00BB69DB" w:rsidRDefault="00BB69DB">
            <w:pPr>
              <w:keepNext/>
              <w:keepLines/>
              <w:jc w:val="center"/>
            </w:pPr>
            <w:r>
              <w:rPr>
                <w:b/>
                <w:sz w:val="18"/>
              </w:rPr>
              <w:t>Stanje 1. siječnja</w:t>
            </w:r>
          </w:p>
        </w:tc>
        <w:tc>
          <w:tcPr>
            <w:tcW w:w="1860" w:type="dxa"/>
            <w:shd w:val="clear" w:color="auto" w:fill="E7F0F9"/>
            <w:tcMar>
              <w:top w:w="0" w:type="dxa"/>
              <w:bottom w:w="0" w:type="dxa"/>
            </w:tcMar>
            <w:vAlign w:val="center"/>
          </w:tcPr>
          <w:p w14:paraId="6F99706A" w14:textId="77777777" w:rsidR="00BB69DB" w:rsidRDefault="00BB69DB">
            <w:pPr>
              <w:keepNext/>
              <w:keepLines/>
              <w:jc w:val="center"/>
            </w:pPr>
            <w:r>
              <w:rPr>
                <w:b/>
                <w:sz w:val="18"/>
              </w:rPr>
              <w:t>Stanje 31. prosinca</w:t>
            </w:r>
          </w:p>
        </w:tc>
        <w:tc>
          <w:tcPr>
            <w:tcW w:w="700" w:type="dxa"/>
            <w:shd w:val="clear" w:color="auto" w:fill="E7F0F9"/>
            <w:tcMar>
              <w:top w:w="0" w:type="dxa"/>
              <w:bottom w:w="0" w:type="dxa"/>
            </w:tcMar>
            <w:vAlign w:val="center"/>
          </w:tcPr>
          <w:p w14:paraId="6C7A89B7" w14:textId="77777777" w:rsidR="00BB69DB" w:rsidRDefault="00BB69DB">
            <w:pPr>
              <w:keepNext/>
              <w:keepLines/>
              <w:jc w:val="center"/>
            </w:pPr>
            <w:r>
              <w:rPr>
                <w:b/>
                <w:sz w:val="18"/>
              </w:rPr>
              <w:t>Indeks (%)</w:t>
            </w:r>
          </w:p>
        </w:tc>
      </w:tr>
      <w:tr w:rsidR="00BB69DB" w14:paraId="78C94E38" w14:textId="77777777">
        <w:trPr>
          <w:cantSplit/>
          <w:trHeight w:val="560"/>
        </w:trPr>
        <w:tc>
          <w:tcPr>
            <w:tcW w:w="700" w:type="dxa"/>
            <w:tcMar>
              <w:top w:w="0" w:type="dxa"/>
              <w:bottom w:w="0" w:type="dxa"/>
            </w:tcMar>
            <w:vAlign w:val="center"/>
          </w:tcPr>
          <w:p w14:paraId="532D58D6" w14:textId="77777777" w:rsidR="00BB69DB" w:rsidRDefault="00BB69DB">
            <w:pPr>
              <w:keepNext/>
              <w:keepLines/>
            </w:pPr>
            <w:r>
              <w:rPr>
                <w:sz w:val="18"/>
              </w:rPr>
              <w:t>2</w:t>
            </w:r>
          </w:p>
        </w:tc>
        <w:tc>
          <w:tcPr>
            <w:tcW w:w="3180" w:type="dxa"/>
            <w:tcMar>
              <w:top w:w="0" w:type="dxa"/>
              <w:bottom w:w="0" w:type="dxa"/>
            </w:tcMar>
            <w:vAlign w:val="center"/>
          </w:tcPr>
          <w:p w14:paraId="0DB5FA96" w14:textId="77777777" w:rsidR="00BB69DB" w:rsidRDefault="00BB69DB">
            <w:pPr>
              <w:keepNext/>
              <w:keepLines/>
            </w:pPr>
            <w:r>
              <w:rPr>
                <w:sz w:val="18"/>
              </w:rPr>
              <w:t>Obveze (šifre 23+24+25+26+27+29)</w:t>
            </w:r>
          </w:p>
        </w:tc>
        <w:tc>
          <w:tcPr>
            <w:tcW w:w="700" w:type="dxa"/>
            <w:tcMar>
              <w:top w:w="0" w:type="dxa"/>
              <w:bottom w:w="0" w:type="dxa"/>
            </w:tcMar>
            <w:vAlign w:val="center"/>
          </w:tcPr>
          <w:p w14:paraId="195B151A" w14:textId="77777777" w:rsidR="00BB69DB" w:rsidRDefault="00BB69DB">
            <w:pPr>
              <w:keepNext/>
              <w:keepLines/>
            </w:pPr>
            <w:r>
              <w:rPr>
                <w:sz w:val="18"/>
              </w:rPr>
              <w:t>2</w:t>
            </w:r>
          </w:p>
        </w:tc>
        <w:tc>
          <w:tcPr>
            <w:tcW w:w="1860" w:type="dxa"/>
            <w:tcMar>
              <w:top w:w="0" w:type="dxa"/>
              <w:bottom w:w="0" w:type="dxa"/>
            </w:tcMar>
            <w:vAlign w:val="center"/>
          </w:tcPr>
          <w:p w14:paraId="56453A4B" w14:textId="77777777" w:rsidR="00BB69DB" w:rsidRDefault="00BB69DB">
            <w:pPr>
              <w:keepNext/>
              <w:keepLines/>
              <w:jc w:val="right"/>
            </w:pPr>
            <w:r>
              <w:rPr>
                <w:sz w:val="18"/>
              </w:rPr>
              <w:t>58.553.876,24</w:t>
            </w:r>
          </w:p>
        </w:tc>
        <w:tc>
          <w:tcPr>
            <w:tcW w:w="1860" w:type="dxa"/>
            <w:tcMar>
              <w:top w:w="0" w:type="dxa"/>
              <w:bottom w:w="0" w:type="dxa"/>
            </w:tcMar>
            <w:vAlign w:val="center"/>
          </w:tcPr>
          <w:p w14:paraId="38DA43C3" w14:textId="77777777" w:rsidR="00BB69DB" w:rsidRDefault="00BB69DB">
            <w:pPr>
              <w:keepNext/>
              <w:keepLines/>
              <w:jc w:val="right"/>
            </w:pPr>
            <w:r>
              <w:rPr>
                <w:sz w:val="18"/>
              </w:rPr>
              <w:t>130.099.809,92</w:t>
            </w:r>
          </w:p>
        </w:tc>
        <w:tc>
          <w:tcPr>
            <w:tcW w:w="700" w:type="dxa"/>
            <w:tcMar>
              <w:top w:w="0" w:type="dxa"/>
              <w:bottom w:w="0" w:type="dxa"/>
            </w:tcMar>
            <w:vAlign w:val="center"/>
          </w:tcPr>
          <w:p w14:paraId="286654A0" w14:textId="77777777" w:rsidR="00BB69DB" w:rsidRDefault="00BB69DB">
            <w:pPr>
              <w:keepNext/>
              <w:keepLines/>
              <w:jc w:val="right"/>
            </w:pPr>
            <w:r>
              <w:rPr>
                <w:sz w:val="18"/>
              </w:rPr>
              <w:t>222,2</w:t>
            </w:r>
          </w:p>
        </w:tc>
      </w:tr>
    </w:tbl>
    <w:p w14:paraId="5DCAC137" w14:textId="77777777" w:rsidR="00BB69DB" w:rsidRDefault="00BB69DB" w:rsidP="00E161EF">
      <w:pPr>
        <w:jc w:val="both"/>
      </w:pPr>
    </w:p>
    <w:p w14:paraId="46633305" w14:textId="77777777" w:rsidR="00BB69DB" w:rsidRDefault="00BB69DB" w:rsidP="00E161EF">
      <w:pPr>
        <w:jc w:val="both"/>
      </w:pPr>
      <w:r>
        <w:t>Na dan 31. prosinca 2025. godine Ministarstvo mora, prometa i infrastrukture imalo je nepodmirene obveze u iznosu od 130.099.809,92 EUR. Obveze prema dobavljačima za isporučene robe, izvršene radove i usluge su podmirene u siječnju 2026. godine. Evidentirane obveze prema dobavljačima roba, radova i usluga na dan 31. 12. 2024. godine odnose se na račune za isporučene robe, radove i usluge u prosincu 2026. godine čije je dospijeće u 2026. godini. Najznačajnije obveze prema dobavljačima su obveze za isporučene brodice u prosincu 2025., a dospijeće računa je u 2026. (3.514.085,70 EUR).</w:t>
      </w:r>
    </w:p>
    <w:p w14:paraId="66A93110" w14:textId="77777777" w:rsidR="00BB69DB" w:rsidRDefault="00BB69DB" w:rsidP="00E161EF">
      <w:pPr>
        <w:jc w:val="both"/>
      </w:pPr>
      <w:r>
        <w:lastRenderedPageBreak/>
        <w:t>Najveće evidentirane obveze odnose se na obveze za povrat u Državni proračun (106.951.338,62 EUR) za isplaćene predujmove za EU projekte ranijih godina, za isplaćene predujmove za gradnju brodova, za isplaćene stipendije učenicima i studentima za koje je tražen povrat u Državni proračun, za isplaćena bolovanja preko 42 dana, za potraživanje od Bina-Istre po koncesijskom ugovoru, za potraživanja za neprihvatljive troškove po projektu i potraživanja po nagodbi te za primljene predujmove za EU projekte gdje je Ministarstvo korisnik projekta.</w:t>
      </w:r>
    </w:p>
    <w:p w14:paraId="03CC2262" w14:textId="77777777" w:rsidR="00BB69DB" w:rsidRDefault="00BB69DB" w:rsidP="00E161EF">
      <w:pPr>
        <w:jc w:val="both"/>
      </w:pPr>
      <w:r>
        <w:t xml:space="preserve">Obveze za naknade šteta pravnim i fizičkim osobama u iznosu od 21.462.201,91 EUR odnose se na obveze za izuzeto javno dobro koje dospijevaju u  2026. i 2027. godini. U 2022. godini Vlada RH je donijela Odluku o prihvaćanju nagodbe između Republike Hrvatske i društva HŽ </w:t>
      </w:r>
      <w:proofErr w:type="spellStart"/>
      <w:r>
        <w:t>Cargo</w:t>
      </w:r>
      <w:proofErr w:type="spellEnd"/>
      <w:r>
        <w:t xml:space="preserve"> d.o.o. u svrhu restrukturiranja kako bi se HŽ </w:t>
      </w:r>
      <w:proofErr w:type="spellStart"/>
      <w:r>
        <w:t>Cargu</w:t>
      </w:r>
      <w:proofErr w:type="spellEnd"/>
      <w:r>
        <w:t xml:space="preserve">  namirilo manje prenesenog temeljnog kapitala na ime ulaganja u javno dobro. Na dan 31.12.2025. obveza po ovoj Nagodbi je 21.462.201,85 EUR.</w:t>
      </w:r>
    </w:p>
    <w:p w14:paraId="494FCED6" w14:textId="77777777" w:rsidR="00BB69DB" w:rsidRDefault="00BB69DB"/>
    <w:p w14:paraId="15BEBB4A" w14:textId="77777777" w:rsidR="00BB69DB" w:rsidRDefault="00BB69DB">
      <w:pPr>
        <w:keepNext/>
        <w:jc w:val="center"/>
      </w:pPr>
      <w:r>
        <w:rPr>
          <w:b/>
          <w:sz w:val="28"/>
        </w:rPr>
        <w:t>Izvještaj o rashodima prema funkcijskoj klasifikaciji</w:t>
      </w:r>
    </w:p>
    <w:p w14:paraId="5123CDAA" w14:textId="77777777" w:rsidR="00BB69DB" w:rsidRDefault="00BB69DB">
      <w:pPr>
        <w:keepNext/>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69DB" w14:paraId="67A9D41D" w14:textId="77777777">
        <w:trPr>
          <w:cantSplit/>
        </w:trPr>
        <w:tc>
          <w:tcPr>
            <w:tcW w:w="700" w:type="dxa"/>
            <w:shd w:val="clear" w:color="auto" w:fill="E7F0F9"/>
            <w:tcMar>
              <w:top w:w="0" w:type="dxa"/>
              <w:bottom w:w="0" w:type="dxa"/>
            </w:tcMar>
            <w:vAlign w:val="center"/>
          </w:tcPr>
          <w:p w14:paraId="6595CD0B" w14:textId="77777777" w:rsidR="00BB69DB" w:rsidRDefault="00BB69DB">
            <w:pPr>
              <w:keepNext/>
              <w:keepLines/>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E81A7A" w14:textId="77777777" w:rsidR="00BB69DB" w:rsidRDefault="00BB69DB">
            <w:pPr>
              <w:keepNext/>
              <w:keepLines/>
              <w:jc w:val="center"/>
            </w:pPr>
            <w:r>
              <w:rPr>
                <w:b/>
                <w:sz w:val="18"/>
              </w:rPr>
              <w:t>Opis stavke</w:t>
            </w:r>
          </w:p>
        </w:tc>
        <w:tc>
          <w:tcPr>
            <w:tcW w:w="700" w:type="dxa"/>
            <w:shd w:val="clear" w:color="auto" w:fill="E7F0F9"/>
            <w:tcMar>
              <w:top w:w="0" w:type="dxa"/>
              <w:bottom w:w="0" w:type="dxa"/>
            </w:tcMar>
            <w:vAlign w:val="center"/>
          </w:tcPr>
          <w:p w14:paraId="694CA158" w14:textId="77777777" w:rsidR="00BB69DB" w:rsidRDefault="00BB69DB">
            <w:pPr>
              <w:keepNext/>
              <w:keepLines/>
              <w:jc w:val="center"/>
            </w:pPr>
            <w:r>
              <w:rPr>
                <w:b/>
                <w:sz w:val="18"/>
              </w:rPr>
              <w:t>Šifra</w:t>
            </w:r>
          </w:p>
        </w:tc>
        <w:tc>
          <w:tcPr>
            <w:tcW w:w="1860" w:type="dxa"/>
            <w:shd w:val="clear" w:color="auto" w:fill="E7F0F9"/>
            <w:tcMar>
              <w:top w:w="0" w:type="dxa"/>
              <w:bottom w:w="0" w:type="dxa"/>
            </w:tcMar>
            <w:vAlign w:val="center"/>
          </w:tcPr>
          <w:p w14:paraId="3BD6A3CE" w14:textId="77777777" w:rsidR="00BB69DB" w:rsidRDefault="00BB69DB">
            <w:pPr>
              <w:keepNext/>
              <w:keepLines/>
              <w:jc w:val="center"/>
            </w:pPr>
            <w:r>
              <w:rPr>
                <w:b/>
                <w:sz w:val="18"/>
              </w:rPr>
              <w:t>Ostvareno u izvještajnom razdoblju prethodne godine</w:t>
            </w:r>
          </w:p>
        </w:tc>
        <w:tc>
          <w:tcPr>
            <w:tcW w:w="1860" w:type="dxa"/>
            <w:shd w:val="clear" w:color="auto" w:fill="E7F0F9"/>
            <w:tcMar>
              <w:top w:w="0" w:type="dxa"/>
              <w:bottom w:w="0" w:type="dxa"/>
            </w:tcMar>
            <w:vAlign w:val="center"/>
          </w:tcPr>
          <w:p w14:paraId="3456F2D3" w14:textId="77777777" w:rsidR="00BB69DB" w:rsidRDefault="00BB69DB">
            <w:pPr>
              <w:keepNext/>
              <w:keepLines/>
              <w:jc w:val="center"/>
            </w:pPr>
            <w:r>
              <w:rPr>
                <w:b/>
                <w:sz w:val="18"/>
              </w:rPr>
              <w:t>Ostvareno u izvještajnom razdoblju tekuće godine</w:t>
            </w:r>
          </w:p>
        </w:tc>
        <w:tc>
          <w:tcPr>
            <w:tcW w:w="700" w:type="dxa"/>
            <w:shd w:val="clear" w:color="auto" w:fill="E7F0F9"/>
            <w:tcMar>
              <w:top w:w="0" w:type="dxa"/>
              <w:bottom w:w="0" w:type="dxa"/>
            </w:tcMar>
            <w:vAlign w:val="center"/>
          </w:tcPr>
          <w:p w14:paraId="06AE4C17" w14:textId="77777777" w:rsidR="00BB69DB" w:rsidRDefault="00BB69DB">
            <w:pPr>
              <w:keepNext/>
              <w:keepLines/>
              <w:jc w:val="center"/>
            </w:pPr>
            <w:r>
              <w:rPr>
                <w:b/>
                <w:sz w:val="18"/>
              </w:rPr>
              <w:t>Indeks (%)</w:t>
            </w:r>
          </w:p>
        </w:tc>
      </w:tr>
      <w:tr w:rsidR="00BB69DB" w14:paraId="5A0BC7B0" w14:textId="77777777">
        <w:trPr>
          <w:cantSplit/>
          <w:trHeight w:val="560"/>
        </w:trPr>
        <w:tc>
          <w:tcPr>
            <w:tcW w:w="700" w:type="dxa"/>
            <w:tcMar>
              <w:top w:w="0" w:type="dxa"/>
              <w:bottom w:w="0" w:type="dxa"/>
            </w:tcMar>
            <w:vAlign w:val="center"/>
          </w:tcPr>
          <w:p w14:paraId="793B3A7E" w14:textId="77777777" w:rsidR="00BB69DB" w:rsidRDefault="00BB69DB">
            <w:pPr>
              <w:keepNext/>
              <w:keepLines/>
            </w:pPr>
            <w:r>
              <w:rPr>
                <w:sz w:val="18"/>
              </w:rPr>
              <w:t>0451</w:t>
            </w:r>
          </w:p>
        </w:tc>
        <w:tc>
          <w:tcPr>
            <w:tcW w:w="3180" w:type="dxa"/>
            <w:tcMar>
              <w:top w:w="0" w:type="dxa"/>
              <w:bottom w:w="0" w:type="dxa"/>
            </w:tcMar>
            <w:vAlign w:val="center"/>
          </w:tcPr>
          <w:p w14:paraId="703FEB6E" w14:textId="77777777" w:rsidR="00BB69DB" w:rsidRDefault="00BB69DB">
            <w:pPr>
              <w:keepNext/>
              <w:keepLines/>
            </w:pPr>
            <w:r>
              <w:rPr>
                <w:sz w:val="18"/>
              </w:rPr>
              <w:t>Cestovni promet</w:t>
            </w:r>
          </w:p>
        </w:tc>
        <w:tc>
          <w:tcPr>
            <w:tcW w:w="700" w:type="dxa"/>
            <w:tcMar>
              <w:top w:w="0" w:type="dxa"/>
              <w:bottom w:w="0" w:type="dxa"/>
            </w:tcMar>
            <w:vAlign w:val="center"/>
          </w:tcPr>
          <w:p w14:paraId="5F37DE4F" w14:textId="77777777" w:rsidR="00BB69DB" w:rsidRDefault="00BB69DB">
            <w:pPr>
              <w:keepNext/>
              <w:keepLines/>
            </w:pPr>
            <w:r>
              <w:rPr>
                <w:sz w:val="18"/>
              </w:rPr>
              <w:t>0451</w:t>
            </w:r>
          </w:p>
        </w:tc>
        <w:tc>
          <w:tcPr>
            <w:tcW w:w="1860" w:type="dxa"/>
            <w:tcMar>
              <w:top w:w="0" w:type="dxa"/>
              <w:bottom w:w="0" w:type="dxa"/>
            </w:tcMar>
            <w:vAlign w:val="center"/>
          </w:tcPr>
          <w:p w14:paraId="7D586692" w14:textId="77777777" w:rsidR="00BB69DB" w:rsidRDefault="00BB69DB">
            <w:pPr>
              <w:keepNext/>
              <w:keepLines/>
              <w:jc w:val="right"/>
            </w:pPr>
            <w:r>
              <w:rPr>
                <w:sz w:val="18"/>
              </w:rPr>
              <w:t>545.757.213,48</w:t>
            </w:r>
          </w:p>
        </w:tc>
        <w:tc>
          <w:tcPr>
            <w:tcW w:w="1860" w:type="dxa"/>
            <w:tcMar>
              <w:top w:w="0" w:type="dxa"/>
              <w:bottom w:w="0" w:type="dxa"/>
            </w:tcMar>
            <w:vAlign w:val="center"/>
          </w:tcPr>
          <w:p w14:paraId="4363E221" w14:textId="77777777" w:rsidR="00BB69DB" w:rsidRDefault="00BB69DB">
            <w:pPr>
              <w:keepNext/>
              <w:keepLines/>
              <w:jc w:val="right"/>
            </w:pPr>
            <w:r>
              <w:rPr>
                <w:sz w:val="18"/>
              </w:rPr>
              <w:t>504.998.935,08</w:t>
            </w:r>
          </w:p>
        </w:tc>
        <w:tc>
          <w:tcPr>
            <w:tcW w:w="700" w:type="dxa"/>
            <w:tcMar>
              <w:top w:w="0" w:type="dxa"/>
              <w:bottom w:w="0" w:type="dxa"/>
            </w:tcMar>
            <w:vAlign w:val="center"/>
          </w:tcPr>
          <w:p w14:paraId="69E6E5D3" w14:textId="77777777" w:rsidR="00BB69DB" w:rsidRDefault="00BB69DB">
            <w:pPr>
              <w:keepNext/>
              <w:keepLines/>
              <w:jc w:val="right"/>
            </w:pPr>
            <w:r>
              <w:rPr>
                <w:sz w:val="18"/>
              </w:rPr>
              <w:t>92,5</w:t>
            </w:r>
          </w:p>
        </w:tc>
      </w:tr>
    </w:tbl>
    <w:p w14:paraId="10F88455" w14:textId="77777777" w:rsidR="00BB69DB" w:rsidRDefault="00BB69DB"/>
    <w:p w14:paraId="28F958BE" w14:textId="77777777" w:rsidR="00BB69DB" w:rsidRDefault="00BB69DB" w:rsidP="00E161EF">
      <w:pPr>
        <w:jc w:val="both"/>
      </w:pPr>
      <w:r>
        <w:t xml:space="preserve">Rashodi za cestovni promet manji su za 40 </w:t>
      </w:r>
      <w:proofErr w:type="spellStart"/>
      <w:r>
        <w:t>mil</w:t>
      </w:r>
      <w:proofErr w:type="spellEnd"/>
      <w:r>
        <w:t xml:space="preserve"> EUR u odnosu na 2024. budući da su značajniji projekti koji su financirani iz OP Konkurentnost i kohezija završeni u 2024. godini. Osim toga naknada u cijeni goriva koja se isplaćuje HAC-u je za 37 </w:t>
      </w:r>
      <w:proofErr w:type="spellStart"/>
      <w:r>
        <w:t>mil</w:t>
      </w:r>
      <w:proofErr w:type="spellEnd"/>
      <w:r>
        <w:t xml:space="preserve"> EUR manja nego u 2024., a naknada u cijeni goriva za HC veća je za 32 </w:t>
      </w:r>
      <w:proofErr w:type="spellStart"/>
      <w:r>
        <w:t>mil</w:t>
      </w:r>
      <w:proofErr w:type="spellEnd"/>
      <w:r>
        <w:t xml:space="preserve"> EUR.</w:t>
      </w:r>
    </w:p>
    <w:p w14:paraId="00CE3CC8" w14:textId="77777777" w:rsidR="00BB69DB" w:rsidRDefault="00BB69DB"/>
    <w:p w14:paraId="02FE6A46" w14:textId="77777777" w:rsidR="00BB69DB" w:rsidRDefault="00BB69DB">
      <w:pPr>
        <w:keepNext/>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69DB" w14:paraId="64EEAA54" w14:textId="77777777">
        <w:trPr>
          <w:cantSplit/>
        </w:trPr>
        <w:tc>
          <w:tcPr>
            <w:tcW w:w="700" w:type="dxa"/>
            <w:shd w:val="clear" w:color="auto" w:fill="E7F0F9"/>
            <w:tcMar>
              <w:top w:w="0" w:type="dxa"/>
              <w:bottom w:w="0" w:type="dxa"/>
            </w:tcMar>
            <w:vAlign w:val="center"/>
          </w:tcPr>
          <w:p w14:paraId="753FB9F2" w14:textId="77777777" w:rsidR="00BB69DB" w:rsidRDefault="00BB69DB">
            <w:pPr>
              <w:keepNext/>
              <w:keepLines/>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8CD7F4C" w14:textId="77777777" w:rsidR="00BB69DB" w:rsidRDefault="00BB69DB">
            <w:pPr>
              <w:keepNext/>
              <w:keepLines/>
              <w:jc w:val="center"/>
            </w:pPr>
            <w:r>
              <w:rPr>
                <w:b/>
                <w:sz w:val="18"/>
              </w:rPr>
              <w:t>Opis stavke</w:t>
            </w:r>
          </w:p>
        </w:tc>
        <w:tc>
          <w:tcPr>
            <w:tcW w:w="700" w:type="dxa"/>
            <w:shd w:val="clear" w:color="auto" w:fill="E7F0F9"/>
            <w:tcMar>
              <w:top w:w="0" w:type="dxa"/>
              <w:bottom w:w="0" w:type="dxa"/>
            </w:tcMar>
            <w:vAlign w:val="center"/>
          </w:tcPr>
          <w:p w14:paraId="6E995402" w14:textId="77777777" w:rsidR="00BB69DB" w:rsidRDefault="00BB69DB">
            <w:pPr>
              <w:keepNext/>
              <w:keepLines/>
              <w:jc w:val="center"/>
            </w:pPr>
            <w:r>
              <w:rPr>
                <w:b/>
                <w:sz w:val="18"/>
              </w:rPr>
              <w:t>Šifra</w:t>
            </w:r>
          </w:p>
        </w:tc>
        <w:tc>
          <w:tcPr>
            <w:tcW w:w="1860" w:type="dxa"/>
            <w:shd w:val="clear" w:color="auto" w:fill="E7F0F9"/>
            <w:tcMar>
              <w:top w:w="0" w:type="dxa"/>
              <w:bottom w:w="0" w:type="dxa"/>
            </w:tcMar>
            <w:vAlign w:val="center"/>
          </w:tcPr>
          <w:p w14:paraId="0B38C2EC" w14:textId="77777777" w:rsidR="00BB69DB" w:rsidRDefault="00BB69DB">
            <w:pPr>
              <w:keepNext/>
              <w:keepLines/>
              <w:jc w:val="center"/>
            </w:pPr>
            <w:r>
              <w:rPr>
                <w:b/>
                <w:sz w:val="18"/>
              </w:rPr>
              <w:t>Ostvareno u izvještajnom razdoblju prethodne godine</w:t>
            </w:r>
          </w:p>
        </w:tc>
        <w:tc>
          <w:tcPr>
            <w:tcW w:w="1860" w:type="dxa"/>
            <w:shd w:val="clear" w:color="auto" w:fill="E7F0F9"/>
            <w:tcMar>
              <w:top w:w="0" w:type="dxa"/>
              <w:bottom w:w="0" w:type="dxa"/>
            </w:tcMar>
            <w:vAlign w:val="center"/>
          </w:tcPr>
          <w:p w14:paraId="1B9A8452" w14:textId="77777777" w:rsidR="00BB69DB" w:rsidRDefault="00BB69DB">
            <w:pPr>
              <w:keepNext/>
              <w:keepLines/>
              <w:jc w:val="center"/>
            </w:pPr>
            <w:r>
              <w:rPr>
                <w:b/>
                <w:sz w:val="18"/>
              </w:rPr>
              <w:t>Ostvareno u izvještajnom razdoblju tekuće godine</w:t>
            </w:r>
          </w:p>
        </w:tc>
        <w:tc>
          <w:tcPr>
            <w:tcW w:w="700" w:type="dxa"/>
            <w:shd w:val="clear" w:color="auto" w:fill="E7F0F9"/>
            <w:tcMar>
              <w:top w:w="0" w:type="dxa"/>
              <w:bottom w:w="0" w:type="dxa"/>
            </w:tcMar>
            <w:vAlign w:val="center"/>
          </w:tcPr>
          <w:p w14:paraId="11D2F431" w14:textId="77777777" w:rsidR="00BB69DB" w:rsidRDefault="00BB69DB">
            <w:pPr>
              <w:keepNext/>
              <w:keepLines/>
              <w:jc w:val="center"/>
            </w:pPr>
            <w:r>
              <w:rPr>
                <w:b/>
                <w:sz w:val="18"/>
              </w:rPr>
              <w:t>Indeks (%)</w:t>
            </w:r>
          </w:p>
        </w:tc>
      </w:tr>
      <w:tr w:rsidR="00BB69DB" w14:paraId="7210E24D" w14:textId="77777777">
        <w:trPr>
          <w:cantSplit/>
          <w:trHeight w:val="560"/>
        </w:trPr>
        <w:tc>
          <w:tcPr>
            <w:tcW w:w="700" w:type="dxa"/>
            <w:tcMar>
              <w:top w:w="0" w:type="dxa"/>
              <w:bottom w:w="0" w:type="dxa"/>
            </w:tcMar>
            <w:vAlign w:val="center"/>
          </w:tcPr>
          <w:p w14:paraId="33095100" w14:textId="77777777" w:rsidR="00BB69DB" w:rsidRDefault="00BB69DB">
            <w:pPr>
              <w:keepNext/>
              <w:keepLines/>
            </w:pPr>
            <w:r>
              <w:rPr>
                <w:sz w:val="18"/>
              </w:rPr>
              <w:t>0453</w:t>
            </w:r>
          </w:p>
        </w:tc>
        <w:tc>
          <w:tcPr>
            <w:tcW w:w="3180" w:type="dxa"/>
            <w:tcMar>
              <w:top w:w="0" w:type="dxa"/>
              <w:bottom w:w="0" w:type="dxa"/>
            </w:tcMar>
            <w:vAlign w:val="center"/>
          </w:tcPr>
          <w:p w14:paraId="077549D7" w14:textId="77777777" w:rsidR="00BB69DB" w:rsidRDefault="00BB69DB">
            <w:pPr>
              <w:keepNext/>
              <w:keepLines/>
            </w:pPr>
            <w:r>
              <w:rPr>
                <w:sz w:val="18"/>
              </w:rPr>
              <w:t>Željeznički promet</w:t>
            </w:r>
          </w:p>
        </w:tc>
        <w:tc>
          <w:tcPr>
            <w:tcW w:w="700" w:type="dxa"/>
            <w:tcMar>
              <w:top w:w="0" w:type="dxa"/>
              <w:bottom w:w="0" w:type="dxa"/>
            </w:tcMar>
            <w:vAlign w:val="center"/>
          </w:tcPr>
          <w:p w14:paraId="399E729B" w14:textId="77777777" w:rsidR="00BB69DB" w:rsidRDefault="00BB69DB">
            <w:pPr>
              <w:keepNext/>
              <w:keepLines/>
            </w:pPr>
            <w:r>
              <w:rPr>
                <w:sz w:val="18"/>
              </w:rPr>
              <w:t>0453</w:t>
            </w:r>
          </w:p>
        </w:tc>
        <w:tc>
          <w:tcPr>
            <w:tcW w:w="1860" w:type="dxa"/>
            <w:tcMar>
              <w:top w:w="0" w:type="dxa"/>
              <w:bottom w:w="0" w:type="dxa"/>
            </w:tcMar>
            <w:vAlign w:val="center"/>
          </w:tcPr>
          <w:p w14:paraId="0E9F7250" w14:textId="77777777" w:rsidR="00BB69DB" w:rsidRDefault="00BB69DB">
            <w:pPr>
              <w:keepNext/>
              <w:keepLines/>
              <w:jc w:val="right"/>
            </w:pPr>
            <w:r>
              <w:rPr>
                <w:sz w:val="18"/>
              </w:rPr>
              <w:t>506.245.797,27</w:t>
            </w:r>
          </w:p>
        </w:tc>
        <w:tc>
          <w:tcPr>
            <w:tcW w:w="1860" w:type="dxa"/>
            <w:tcMar>
              <w:top w:w="0" w:type="dxa"/>
              <w:bottom w:w="0" w:type="dxa"/>
            </w:tcMar>
            <w:vAlign w:val="center"/>
          </w:tcPr>
          <w:p w14:paraId="15F11DEA" w14:textId="77777777" w:rsidR="00BB69DB" w:rsidRDefault="00BB69DB">
            <w:pPr>
              <w:keepNext/>
              <w:keepLines/>
              <w:jc w:val="right"/>
            </w:pPr>
            <w:r>
              <w:rPr>
                <w:sz w:val="18"/>
              </w:rPr>
              <w:t>734.136.041,73</w:t>
            </w:r>
          </w:p>
        </w:tc>
        <w:tc>
          <w:tcPr>
            <w:tcW w:w="700" w:type="dxa"/>
            <w:tcMar>
              <w:top w:w="0" w:type="dxa"/>
              <w:bottom w:w="0" w:type="dxa"/>
            </w:tcMar>
            <w:vAlign w:val="center"/>
          </w:tcPr>
          <w:p w14:paraId="5E154BFC" w14:textId="77777777" w:rsidR="00BB69DB" w:rsidRDefault="00BB69DB">
            <w:pPr>
              <w:keepNext/>
              <w:keepLines/>
              <w:jc w:val="right"/>
            </w:pPr>
            <w:r>
              <w:rPr>
                <w:sz w:val="18"/>
              </w:rPr>
              <w:t>145,0</w:t>
            </w:r>
          </w:p>
        </w:tc>
      </w:tr>
    </w:tbl>
    <w:p w14:paraId="0CC6A96C" w14:textId="77777777" w:rsidR="00BB69DB" w:rsidRDefault="00BB69DB"/>
    <w:p w14:paraId="3C5E5B0B" w14:textId="77777777" w:rsidR="00BB69DB" w:rsidRDefault="00BB69DB" w:rsidP="00E161EF">
      <w:pPr>
        <w:jc w:val="both"/>
      </w:pPr>
      <w:r>
        <w:t xml:space="preserve">Rashodi za željeznički promet veći su za 228 </w:t>
      </w:r>
      <w:proofErr w:type="spellStart"/>
      <w:r>
        <w:t>mil</w:t>
      </w:r>
      <w:proofErr w:type="spellEnd"/>
      <w:r>
        <w:t xml:space="preserve"> EUR u odnosu na 2024. zbog investicijskih ulaganja u željezničku infrastrukturu, te zbog rasta troškova plaća i troškova dobavljača društava HŽI i HŽ PP.</w:t>
      </w:r>
    </w:p>
    <w:p w14:paraId="0AD7816D" w14:textId="77777777" w:rsidR="00BB69DB" w:rsidRDefault="00BB69DB"/>
    <w:p w14:paraId="088CF091" w14:textId="77777777" w:rsidR="00BB69DB" w:rsidRDefault="00BB69DB">
      <w:pPr>
        <w:keepNext/>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69DB" w14:paraId="29973AF1" w14:textId="77777777">
        <w:trPr>
          <w:cantSplit/>
        </w:trPr>
        <w:tc>
          <w:tcPr>
            <w:tcW w:w="700" w:type="dxa"/>
            <w:shd w:val="clear" w:color="auto" w:fill="E7F0F9"/>
            <w:tcMar>
              <w:top w:w="0" w:type="dxa"/>
              <w:bottom w:w="0" w:type="dxa"/>
            </w:tcMar>
            <w:vAlign w:val="center"/>
          </w:tcPr>
          <w:p w14:paraId="21F5A679" w14:textId="77777777" w:rsidR="00BB69DB" w:rsidRDefault="00BB69DB">
            <w:pPr>
              <w:keepNext/>
              <w:keepLines/>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00217C" w14:textId="77777777" w:rsidR="00BB69DB" w:rsidRDefault="00BB69DB">
            <w:pPr>
              <w:keepNext/>
              <w:keepLines/>
              <w:jc w:val="center"/>
            </w:pPr>
            <w:r>
              <w:rPr>
                <w:b/>
                <w:sz w:val="18"/>
              </w:rPr>
              <w:t>Opis stavke</w:t>
            </w:r>
          </w:p>
        </w:tc>
        <w:tc>
          <w:tcPr>
            <w:tcW w:w="700" w:type="dxa"/>
            <w:shd w:val="clear" w:color="auto" w:fill="E7F0F9"/>
            <w:tcMar>
              <w:top w:w="0" w:type="dxa"/>
              <w:bottom w:w="0" w:type="dxa"/>
            </w:tcMar>
            <w:vAlign w:val="center"/>
          </w:tcPr>
          <w:p w14:paraId="68116E5B" w14:textId="77777777" w:rsidR="00BB69DB" w:rsidRDefault="00BB69DB">
            <w:pPr>
              <w:keepNext/>
              <w:keepLines/>
              <w:jc w:val="center"/>
            </w:pPr>
            <w:r>
              <w:rPr>
                <w:b/>
                <w:sz w:val="18"/>
              </w:rPr>
              <w:t>Šifra</w:t>
            </w:r>
          </w:p>
        </w:tc>
        <w:tc>
          <w:tcPr>
            <w:tcW w:w="1860" w:type="dxa"/>
            <w:shd w:val="clear" w:color="auto" w:fill="E7F0F9"/>
            <w:tcMar>
              <w:top w:w="0" w:type="dxa"/>
              <w:bottom w:w="0" w:type="dxa"/>
            </w:tcMar>
            <w:vAlign w:val="center"/>
          </w:tcPr>
          <w:p w14:paraId="7FC390DE" w14:textId="77777777" w:rsidR="00BB69DB" w:rsidRDefault="00BB69DB">
            <w:pPr>
              <w:keepNext/>
              <w:keepLines/>
              <w:jc w:val="center"/>
            </w:pPr>
            <w:r>
              <w:rPr>
                <w:b/>
                <w:sz w:val="18"/>
              </w:rPr>
              <w:t>Ostvareno u izvještajnom razdoblju prethodne godine</w:t>
            </w:r>
          </w:p>
        </w:tc>
        <w:tc>
          <w:tcPr>
            <w:tcW w:w="1860" w:type="dxa"/>
            <w:shd w:val="clear" w:color="auto" w:fill="E7F0F9"/>
            <w:tcMar>
              <w:top w:w="0" w:type="dxa"/>
              <w:bottom w:w="0" w:type="dxa"/>
            </w:tcMar>
            <w:vAlign w:val="center"/>
          </w:tcPr>
          <w:p w14:paraId="0C997F80" w14:textId="77777777" w:rsidR="00BB69DB" w:rsidRDefault="00BB69DB">
            <w:pPr>
              <w:keepNext/>
              <w:keepLines/>
              <w:jc w:val="center"/>
            </w:pPr>
            <w:r>
              <w:rPr>
                <w:b/>
                <w:sz w:val="18"/>
              </w:rPr>
              <w:t>Ostvareno u izvještajnom razdoblju tekuće godine</w:t>
            </w:r>
          </w:p>
        </w:tc>
        <w:tc>
          <w:tcPr>
            <w:tcW w:w="700" w:type="dxa"/>
            <w:shd w:val="clear" w:color="auto" w:fill="E7F0F9"/>
            <w:tcMar>
              <w:top w:w="0" w:type="dxa"/>
              <w:bottom w:w="0" w:type="dxa"/>
            </w:tcMar>
            <w:vAlign w:val="center"/>
          </w:tcPr>
          <w:p w14:paraId="77BD05DF" w14:textId="77777777" w:rsidR="00BB69DB" w:rsidRDefault="00BB69DB">
            <w:pPr>
              <w:keepNext/>
              <w:keepLines/>
              <w:jc w:val="center"/>
            </w:pPr>
            <w:r>
              <w:rPr>
                <w:b/>
                <w:sz w:val="18"/>
              </w:rPr>
              <w:t>Indeks (%)</w:t>
            </w:r>
          </w:p>
        </w:tc>
      </w:tr>
      <w:tr w:rsidR="00BB69DB" w14:paraId="538C1B88" w14:textId="77777777">
        <w:trPr>
          <w:cantSplit/>
          <w:trHeight w:val="560"/>
        </w:trPr>
        <w:tc>
          <w:tcPr>
            <w:tcW w:w="700" w:type="dxa"/>
            <w:tcMar>
              <w:top w:w="0" w:type="dxa"/>
              <w:bottom w:w="0" w:type="dxa"/>
            </w:tcMar>
            <w:vAlign w:val="center"/>
          </w:tcPr>
          <w:p w14:paraId="29BCFE01" w14:textId="77777777" w:rsidR="00BB69DB" w:rsidRDefault="00BB69DB">
            <w:pPr>
              <w:keepNext/>
              <w:keepLines/>
            </w:pPr>
            <w:r>
              <w:rPr>
                <w:sz w:val="18"/>
              </w:rPr>
              <w:t>046</w:t>
            </w:r>
          </w:p>
        </w:tc>
        <w:tc>
          <w:tcPr>
            <w:tcW w:w="3180" w:type="dxa"/>
            <w:tcMar>
              <w:top w:w="0" w:type="dxa"/>
              <w:bottom w:w="0" w:type="dxa"/>
            </w:tcMar>
            <w:vAlign w:val="center"/>
          </w:tcPr>
          <w:p w14:paraId="526926A8" w14:textId="77777777" w:rsidR="00BB69DB" w:rsidRDefault="00BB69DB">
            <w:pPr>
              <w:keepNext/>
              <w:keepLines/>
            </w:pPr>
            <w:r>
              <w:rPr>
                <w:sz w:val="18"/>
              </w:rPr>
              <w:t>Komunikacije</w:t>
            </w:r>
          </w:p>
        </w:tc>
        <w:tc>
          <w:tcPr>
            <w:tcW w:w="700" w:type="dxa"/>
            <w:tcMar>
              <w:top w:w="0" w:type="dxa"/>
              <w:bottom w:w="0" w:type="dxa"/>
            </w:tcMar>
            <w:vAlign w:val="center"/>
          </w:tcPr>
          <w:p w14:paraId="26FCE103" w14:textId="77777777" w:rsidR="00BB69DB" w:rsidRDefault="00BB69DB">
            <w:pPr>
              <w:keepNext/>
              <w:keepLines/>
            </w:pPr>
            <w:r>
              <w:rPr>
                <w:sz w:val="18"/>
              </w:rPr>
              <w:t>046</w:t>
            </w:r>
          </w:p>
        </w:tc>
        <w:tc>
          <w:tcPr>
            <w:tcW w:w="1860" w:type="dxa"/>
            <w:tcMar>
              <w:top w:w="0" w:type="dxa"/>
              <w:bottom w:w="0" w:type="dxa"/>
            </w:tcMar>
            <w:vAlign w:val="center"/>
          </w:tcPr>
          <w:p w14:paraId="4E50EBBB" w14:textId="77777777" w:rsidR="00BB69DB" w:rsidRDefault="00BB69DB">
            <w:pPr>
              <w:keepNext/>
              <w:keepLines/>
              <w:jc w:val="right"/>
            </w:pPr>
            <w:r>
              <w:rPr>
                <w:sz w:val="18"/>
              </w:rPr>
              <w:t>53.844.519,51</w:t>
            </w:r>
          </w:p>
        </w:tc>
        <w:tc>
          <w:tcPr>
            <w:tcW w:w="1860" w:type="dxa"/>
            <w:tcMar>
              <w:top w:w="0" w:type="dxa"/>
              <w:bottom w:w="0" w:type="dxa"/>
            </w:tcMar>
            <w:vAlign w:val="center"/>
          </w:tcPr>
          <w:p w14:paraId="11705541" w14:textId="77777777" w:rsidR="00BB69DB" w:rsidRDefault="00BB69DB">
            <w:pPr>
              <w:keepNext/>
              <w:keepLines/>
              <w:jc w:val="right"/>
            </w:pPr>
            <w:r>
              <w:rPr>
                <w:sz w:val="18"/>
              </w:rPr>
              <w:t>19.369.069,34</w:t>
            </w:r>
          </w:p>
        </w:tc>
        <w:tc>
          <w:tcPr>
            <w:tcW w:w="700" w:type="dxa"/>
            <w:tcMar>
              <w:top w:w="0" w:type="dxa"/>
              <w:bottom w:w="0" w:type="dxa"/>
            </w:tcMar>
            <w:vAlign w:val="center"/>
          </w:tcPr>
          <w:p w14:paraId="1D835CCE" w14:textId="77777777" w:rsidR="00BB69DB" w:rsidRDefault="00BB69DB">
            <w:pPr>
              <w:keepNext/>
              <w:keepLines/>
              <w:jc w:val="right"/>
            </w:pPr>
            <w:r>
              <w:rPr>
                <w:sz w:val="18"/>
              </w:rPr>
              <w:t>36,0</w:t>
            </w:r>
          </w:p>
        </w:tc>
      </w:tr>
    </w:tbl>
    <w:p w14:paraId="4109224C" w14:textId="77777777" w:rsidR="00BB69DB" w:rsidRDefault="00BB69DB"/>
    <w:p w14:paraId="16759B0C" w14:textId="77777777" w:rsidR="00BB69DB" w:rsidRDefault="00BB69DB" w:rsidP="00E161EF">
      <w:pPr>
        <w:jc w:val="both"/>
      </w:pPr>
      <w:r>
        <w:t xml:space="preserve">Rashodi za komunikacije u 2025. godini manji su za 75 </w:t>
      </w:r>
      <w:proofErr w:type="spellStart"/>
      <w:r>
        <w:t>mil</w:t>
      </w:r>
      <w:proofErr w:type="spellEnd"/>
      <w:r>
        <w:t xml:space="preserve"> EUR u odnosu na 2024. jer u 2025. godini nisu ostvareni rashodi za razvoj infrastrukture širokopojasne mreže slijedeće generacije iz programa OP KK, a u 2024. su ostvareni rashodi u iznosu od 21,5 </w:t>
      </w:r>
      <w:proofErr w:type="spellStart"/>
      <w:r>
        <w:t>mil</w:t>
      </w:r>
      <w:proofErr w:type="spellEnd"/>
      <w:r>
        <w:t xml:space="preserve"> EUR. Osim toga u 2024. godini promijenjen je način isplate subvencije za obavljanje univerzalne poštanske usluge. U 2024. godini ugovorena je kvartalna isplata subvencije, te je u 2024. godini isplaćena subvencija za 3 kvartala prije konačnog obračuna i konačni obračun za 2023. godinu, a u 2025. su isplaćene naknade za 4 kvartala.</w:t>
      </w:r>
    </w:p>
    <w:p w14:paraId="38C9E23E" w14:textId="77777777" w:rsidR="00BB69DB" w:rsidRDefault="00BB69DB">
      <w:r>
        <w:t>ž</w:t>
      </w:r>
    </w:p>
    <w:p w14:paraId="33F937EB" w14:textId="77777777" w:rsidR="00BB69DB" w:rsidRDefault="00BB69DB">
      <w:pPr>
        <w:keepNext/>
        <w:jc w:val="center"/>
      </w:pPr>
      <w:r>
        <w:rPr>
          <w:b/>
          <w:sz w:val="28"/>
        </w:rPr>
        <w:lastRenderedPageBreak/>
        <w:t>Promjene u vrijednosti i obujmu imovine i obveza</w:t>
      </w:r>
    </w:p>
    <w:p w14:paraId="7AE31293" w14:textId="77777777" w:rsidR="00BB69DB" w:rsidRDefault="00BB69DB">
      <w:pPr>
        <w:keepNext/>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69DB" w14:paraId="7B905C92" w14:textId="77777777">
        <w:trPr>
          <w:cantSplit/>
        </w:trPr>
        <w:tc>
          <w:tcPr>
            <w:tcW w:w="700" w:type="dxa"/>
            <w:shd w:val="clear" w:color="auto" w:fill="E7F0F9"/>
            <w:tcMar>
              <w:top w:w="0" w:type="dxa"/>
              <w:bottom w:w="0" w:type="dxa"/>
            </w:tcMar>
            <w:vAlign w:val="center"/>
          </w:tcPr>
          <w:p w14:paraId="744C9A4B" w14:textId="77777777" w:rsidR="00BB69DB" w:rsidRDefault="00BB69DB">
            <w:pPr>
              <w:keepNext/>
              <w:keepLines/>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C82A0E" w14:textId="77777777" w:rsidR="00BB69DB" w:rsidRDefault="00BB69DB">
            <w:pPr>
              <w:keepNext/>
              <w:keepLines/>
              <w:jc w:val="center"/>
            </w:pPr>
            <w:r>
              <w:rPr>
                <w:b/>
                <w:sz w:val="18"/>
              </w:rPr>
              <w:t>Opis stavke</w:t>
            </w:r>
          </w:p>
        </w:tc>
        <w:tc>
          <w:tcPr>
            <w:tcW w:w="700" w:type="dxa"/>
            <w:shd w:val="clear" w:color="auto" w:fill="E7F0F9"/>
            <w:tcMar>
              <w:top w:w="0" w:type="dxa"/>
              <w:bottom w:w="0" w:type="dxa"/>
            </w:tcMar>
            <w:vAlign w:val="center"/>
          </w:tcPr>
          <w:p w14:paraId="4F0229D6" w14:textId="77777777" w:rsidR="00BB69DB" w:rsidRDefault="00BB69DB">
            <w:pPr>
              <w:keepNext/>
              <w:keepLines/>
              <w:jc w:val="center"/>
            </w:pPr>
            <w:r>
              <w:rPr>
                <w:b/>
                <w:sz w:val="18"/>
              </w:rPr>
              <w:t>Šifra</w:t>
            </w:r>
          </w:p>
        </w:tc>
        <w:tc>
          <w:tcPr>
            <w:tcW w:w="1860" w:type="dxa"/>
            <w:shd w:val="clear" w:color="auto" w:fill="E7F0F9"/>
            <w:tcMar>
              <w:top w:w="0" w:type="dxa"/>
              <w:bottom w:w="0" w:type="dxa"/>
            </w:tcMar>
            <w:vAlign w:val="center"/>
          </w:tcPr>
          <w:p w14:paraId="210BCCE9" w14:textId="77777777" w:rsidR="00BB69DB" w:rsidRDefault="00BB69DB">
            <w:pPr>
              <w:keepNext/>
              <w:keepLines/>
              <w:jc w:val="center"/>
            </w:pPr>
            <w:r>
              <w:rPr>
                <w:b/>
                <w:sz w:val="18"/>
              </w:rPr>
              <w:t>Iznos povećanja</w:t>
            </w:r>
          </w:p>
        </w:tc>
        <w:tc>
          <w:tcPr>
            <w:tcW w:w="1860" w:type="dxa"/>
            <w:shd w:val="clear" w:color="auto" w:fill="E7F0F9"/>
            <w:tcMar>
              <w:top w:w="0" w:type="dxa"/>
              <w:bottom w:w="0" w:type="dxa"/>
            </w:tcMar>
            <w:vAlign w:val="center"/>
          </w:tcPr>
          <w:p w14:paraId="5CC0DC23" w14:textId="77777777" w:rsidR="00BB69DB" w:rsidRDefault="00BB69DB">
            <w:pPr>
              <w:keepNext/>
              <w:keepLines/>
              <w:jc w:val="center"/>
            </w:pPr>
            <w:r>
              <w:rPr>
                <w:b/>
                <w:sz w:val="18"/>
              </w:rPr>
              <w:t>Iznos smanjenja</w:t>
            </w:r>
          </w:p>
        </w:tc>
        <w:tc>
          <w:tcPr>
            <w:tcW w:w="700" w:type="dxa"/>
            <w:shd w:val="clear" w:color="auto" w:fill="E7F0F9"/>
            <w:tcMar>
              <w:top w:w="0" w:type="dxa"/>
              <w:bottom w:w="0" w:type="dxa"/>
            </w:tcMar>
            <w:vAlign w:val="center"/>
          </w:tcPr>
          <w:p w14:paraId="6DCA0E38" w14:textId="77777777" w:rsidR="00BB69DB" w:rsidRDefault="00BB69DB">
            <w:pPr>
              <w:keepNext/>
              <w:keepLines/>
              <w:jc w:val="center"/>
            </w:pPr>
            <w:r>
              <w:rPr>
                <w:b/>
                <w:sz w:val="18"/>
              </w:rPr>
              <w:t>Indeks (%)</w:t>
            </w:r>
          </w:p>
        </w:tc>
      </w:tr>
      <w:tr w:rsidR="00BB69DB" w14:paraId="22C8CBBC" w14:textId="77777777">
        <w:trPr>
          <w:cantSplit/>
          <w:trHeight w:val="560"/>
        </w:trPr>
        <w:tc>
          <w:tcPr>
            <w:tcW w:w="700" w:type="dxa"/>
            <w:tcMar>
              <w:top w:w="0" w:type="dxa"/>
              <w:bottom w:w="0" w:type="dxa"/>
            </w:tcMar>
            <w:vAlign w:val="center"/>
          </w:tcPr>
          <w:p w14:paraId="6C3C5256" w14:textId="77777777" w:rsidR="00BB69DB" w:rsidRDefault="00BB69DB">
            <w:pPr>
              <w:keepNext/>
              <w:keepLines/>
            </w:pPr>
            <w:r>
              <w:rPr>
                <w:sz w:val="18"/>
              </w:rPr>
              <w:t>91512</w:t>
            </w:r>
          </w:p>
        </w:tc>
        <w:tc>
          <w:tcPr>
            <w:tcW w:w="3180" w:type="dxa"/>
            <w:tcMar>
              <w:top w:w="0" w:type="dxa"/>
              <w:bottom w:w="0" w:type="dxa"/>
            </w:tcMar>
            <w:vAlign w:val="center"/>
          </w:tcPr>
          <w:p w14:paraId="612F8C79" w14:textId="77777777" w:rsidR="00BB69DB" w:rsidRDefault="00BB69DB">
            <w:pPr>
              <w:keepNext/>
              <w:keepLines/>
            </w:pPr>
            <w:r>
              <w:rPr>
                <w:sz w:val="18"/>
              </w:rPr>
              <w:t>Promjene u obujmu imovine (šifre P016+P023)</w:t>
            </w:r>
          </w:p>
        </w:tc>
        <w:tc>
          <w:tcPr>
            <w:tcW w:w="700" w:type="dxa"/>
            <w:tcMar>
              <w:top w:w="0" w:type="dxa"/>
              <w:bottom w:w="0" w:type="dxa"/>
            </w:tcMar>
            <w:vAlign w:val="center"/>
          </w:tcPr>
          <w:p w14:paraId="782CF910" w14:textId="77777777" w:rsidR="00BB69DB" w:rsidRDefault="00BB69DB">
            <w:pPr>
              <w:keepNext/>
              <w:keepLines/>
            </w:pPr>
            <w:r>
              <w:rPr>
                <w:sz w:val="18"/>
              </w:rPr>
              <w:t>91512</w:t>
            </w:r>
          </w:p>
        </w:tc>
        <w:tc>
          <w:tcPr>
            <w:tcW w:w="1860" w:type="dxa"/>
            <w:tcMar>
              <w:top w:w="0" w:type="dxa"/>
              <w:bottom w:w="0" w:type="dxa"/>
            </w:tcMar>
            <w:vAlign w:val="center"/>
          </w:tcPr>
          <w:p w14:paraId="705BC55C" w14:textId="77777777" w:rsidR="00BB69DB" w:rsidRDefault="00BB69DB">
            <w:pPr>
              <w:keepNext/>
              <w:keepLines/>
              <w:jc w:val="right"/>
            </w:pPr>
            <w:r>
              <w:rPr>
                <w:sz w:val="18"/>
              </w:rPr>
              <w:t>0,00</w:t>
            </w:r>
          </w:p>
        </w:tc>
        <w:tc>
          <w:tcPr>
            <w:tcW w:w="1860" w:type="dxa"/>
            <w:tcMar>
              <w:top w:w="0" w:type="dxa"/>
              <w:bottom w:w="0" w:type="dxa"/>
            </w:tcMar>
            <w:vAlign w:val="center"/>
          </w:tcPr>
          <w:p w14:paraId="0BAF3FA7" w14:textId="77777777" w:rsidR="00BB69DB" w:rsidRDefault="00BB69DB">
            <w:pPr>
              <w:keepNext/>
              <w:keepLines/>
              <w:jc w:val="right"/>
            </w:pPr>
            <w:r>
              <w:rPr>
                <w:sz w:val="18"/>
              </w:rPr>
              <w:t>1.043.966,43</w:t>
            </w:r>
          </w:p>
        </w:tc>
        <w:tc>
          <w:tcPr>
            <w:tcW w:w="700" w:type="dxa"/>
            <w:tcMar>
              <w:top w:w="0" w:type="dxa"/>
              <w:bottom w:w="0" w:type="dxa"/>
            </w:tcMar>
            <w:vAlign w:val="center"/>
          </w:tcPr>
          <w:p w14:paraId="5D29AC6D" w14:textId="77777777" w:rsidR="00BB69DB" w:rsidRDefault="00BB69DB">
            <w:pPr>
              <w:keepNext/>
              <w:keepLines/>
              <w:jc w:val="right"/>
            </w:pPr>
            <w:r>
              <w:rPr>
                <w:sz w:val="18"/>
              </w:rPr>
              <w:t>-</w:t>
            </w:r>
          </w:p>
        </w:tc>
      </w:tr>
    </w:tbl>
    <w:p w14:paraId="0C3CA1A0" w14:textId="77777777" w:rsidR="00BB69DB" w:rsidRDefault="00BB69DB"/>
    <w:p w14:paraId="0D111EB1" w14:textId="77777777" w:rsidR="00BB69DB" w:rsidRDefault="00BB69DB" w:rsidP="00E161EF">
      <w:pPr>
        <w:jc w:val="both"/>
      </w:pPr>
      <w:r>
        <w:t>Isknjižena je vrijednost zemljišta u Zadru u iznosu od 250.880,69 EUR nakon odgovora Odjela za katastar nekretnina Zadar da je nekretnina koja je vezana uz Projekt šume LK u privatnom vlasništvu. Pregledom zemljišnih knjiga Općinskog suda u Zadru utvrđeno je da predmetne nekretnine nemaju poveznicu s vlasništvom Republike Hrvatske, te se isto ne vodi u evidenciji Središnjeg registra državne imovine. Temeljem svega navedenog Projekt šume LK je isknjižen iz knjige imovine Ministarstva mora, prometa i infrastrukture.</w:t>
      </w:r>
    </w:p>
    <w:p w14:paraId="64D31C2E" w14:textId="77777777" w:rsidR="00BB69DB" w:rsidRDefault="00BB69DB" w:rsidP="00E161EF">
      <w:pPr>
        <w:jc w:val="both"/>
      </w:pPr>
      <w:r>
        <w:t>Jedna brodica je donirana Pomorskom fakultetu Split, jedna Općini Sali, a jedna HHI-u. MUP-u je na daljnje korištenje predana jedna antena. Gradu Zagrebu je predan projekt uređenja parkirališta temeljem Sporazuma o sufinanciranju radova.</w:t>
      </w:r>
    </w:p>
    <w:p w14:paraId="11ECED2D" w14:textId="77777777" w:rsidR="00BB69DB" w:rsidRDefault="00BB69DB" w:rsidP="00E161EF">
      <w:pPr>
        <w:jc w:val="both"/>
      </w:pPr>
      <w:r>
        <w:t>Korigirana je vrijednost 1 vozila i 2 broda.</w:t>
      </w:r>
    </w:p>
    <w:p w14:paraId="4953905E" w14:textId="77777777" w:rsidR="00BB69DB" w:rsidRDefault="00BB69DB"/>
    <w:p w14:paraId="25D648C2" w14:textId="77777777" w:rsidR="00BB69DB" w:rsidRDefault="00BB69DB">
      <w:pPr>
        <w:keepNext/>
        <w:jc w:val="center"/>
      </w:pPr>
      <w:r>
        <w:rPr>
          <w:b/>
          <w:sz w:val="28"/>
        </w:rPr>
        <w:t>Izvještaj o obvezama</w:t>
      </w:r>
    </w:p>
    <w:p w14:paraId="28B1EF74" w14:textId="77777777" w:rsidR="00BB69DB" w:rsidRDefault="00BB69DB">
      <w:pPr>
        <w:keepNext/>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BB69DB" w14:paraId="63EF6808" w14:textId="77777777">
        <w:trPr>
          <w:cantSplit/>
        </w:trPr>
        <w:tc>
          <w:tcPr>
            <w:tcW w:w="700" w:type="dxa"/>
            <w:shd w:val="clear" w:color="auto" w:fill="E7F0F9"/>
            <w:tcMar>
              <w:top w:w="0" w:type="dxa"/>
              <w:bottom w:w="0" w:type="dxa"/>
            </w:tcMar>
            <w:vAlign w:val="center"/>
          </w:tcPr>
          <w:p w14:paraId="4D3BF8BA" w14:textId="77777777" w:rsidR="00BB69DB" w:rsidRDefault="00BB69DB">
            <w:pPr>
              <w:keepNext/>
              <w:keepLines/>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C1CB45" w14:textId="77777777" w:rsidR="00BB69DB" w:rsidRDefault="00BB69DB">
            <w:pPr>
              <w:keepNext/>
              <w:keepLines/>
              <w:jc w:val="center"/>
            </w:pPr>
            <w:r>
              <w:rPr>
                <w:b/>
                <w:sz w:val="18"/>
              </w:rPr>
              <w:t>Opis stavke</w:t>
            </w:r>
          </w:p>
        </w:tc>
        <w:tc>
          <w:tcPr>
            <w:tcW w:w="700" w:type="dxa"/>
            <w:shd w:val="clear" w:color="auto" w:fill="E7F0F9"/>
            <w:tcMar>
              <w:top w:w="0" w:type="dxa"/>
              <w:bottom w:w="0" w:type="dxa"/>
            </w:tcMar>
            <w:vAlign w:val="center"/>
          </w:tcPr>
          <w:p w14:paraId="759FC56B" w14:textId="77777777" w:rsidR="00BB69DB" w:rsidRDefault="00BB69DB">
            <w:pPr>
              <w:keepNext/>
              <w:keepLines/>
              <w:jc w:val="center"/>
            </w:pPr>
            <w:r>
              <w:rPr>
                <w:b/>
                <w:sz w:val="18"/>
              </w:rPr>
              <w:t>Šifra</w:t>
            </w:r>
          </w:p>
        </w:tc>
        <w:tc>
          <w:tcPr>
            <w:tcW w:w="1860" w:type="dxa"/>
            <w:shd w:val="clear" w:color="auto" w:fill="E7F0F9"/>
            <w:tcMar>
              <w:top w:w="0" w:type="dxa"/>
              <w:bottom w:w="0" w:type="dxa"/>
            </w:tcMar>
            <w:vAlign w:val="center"/>
          </w:tcPr>
          <w:p w14:paraId="0D659249" w14:textId="77777777" w:rsidR="00BB69DB" w:rsidRDefault="00BB69DB">
            <w:pPr>
              <w:keepNext/>
              <w:keepLines/>
              <w:jc w:val="center"/>
            </w:pPr>
            <w:r>
              <w:rPr>
                <w:b/>
                <w:sz w:val="18"/>
              </w:rPr>
              <w:t>Iznos</w:t>
            </w:r>
          </w:p>
        </w:tc>
        <w:tc>
          <w:tcPr>
            <w:tcW w:w="700" w:type="dxa"/>
            <w:shd w:val="clear" w:color="auto" w:fill="E7F0F9"/>
            <w:tcMar>
              <w:top w:w="0" w:type="dxa"/>
              <w:bottom w:w="0" w:type="dxa"/>
            </w:tcMar>
            <w:vAlign w:val="center"/>
          </w:tcPr>
          <w:p w14:paraId="0CA9AA1A" w14:textId="77777777" w:rsidR="00BB69DB" w:rsidRDefault="00BB69DB">
            <w:pPr>
              <w:keepNext/>
              <w:keepLines/>
              <w:jc w:val="center"/>
            </w:pPr>
            <w:r>
              <w:rPr>
                <w:b/>
                <w:sz w:val="18"/>
              </w:rPr>
              <w:t>Indeks (%)</w:t>
            </w:r>
          </w:p>
        </w:tc>
      </w:tr>
      <w:tr w:rsidR="00BB69DB" w14:paraId="57DE0465" w14:textId="77777777">
        <w:trPr>
          <w:cantSplit/>
          <w:trHeight w:val="560"/>
        </w:trPr>
        <w:tc>
          <w:tcPr>
            <w:tcW w:w="700" w:type="dxa"/>
            <w:tcMar>
              <w:top w:w="0" w:type="dxa"/>
              <w:bottom w:w="0" w:type="dxa"/>
            </w:tcMar>
            <w:vAlign w:val="center"/>
          </w:tcPr>
          <w:p w14:paraId="7276EAC5" w14:textId="77777777" w:rsidR="00BB69DB" w:rsidRDefault="00BB69DB">
            <w:pPr>
              <w:keepNext/>
              <w:keepLines/>
            </w:pPr>
          </w:p>
        </w:tc>
        <w:tc>
          <w:tcPr>
            <w:tcW w:w="3180" w:type="dxa"/>
            <w:tcMar>
              <w:top w:w="0" w:type="dxa"/>
              <w:bottom w:w="0" w:type="dxa"/>
            </w:tcMar>
            <w:vAlign w:val="center"/>
          </w:tcPr>
          <w:p w14:paraId="57198F09" w14:textId="77777777" w:rsidR="00BB69DB" w:rsidRDefault="00BB69DB">
            <w:pPr>
              <w:keepNext/>
              <w:keepLines/>
            </w:pPr>
            <w:r>
              <w:rPr>
                <w:sz w:val="18"/>
              </w:rPr>
              <w:t>Stanje dospjelih obveza na kraju izvještajnog razdoblja (šifre V008+D23+D24 + 'D dio 25,26' + D27)</w:t>
            </w:r>
          </w:p>
        </w:tc>
        <w:tc>
          <w:tcPr>
            <w:tcW w:w="700" w:type="dxa"/>
            <w:tcMar>
              <w:top w:w="0" w:type="dxa"/>
              <w:bottom w:w="0" w:type="dxa"/>
            </w:tcMar>
            <w:vAlign w:val="center"/>
          </w:tcPr>
          <w:p w14:paraId="0A9135B2" w14:textId="77777777" w:rsidR="00BB69DB" w:rsidRDefault="00BB69DB">
            <w:pPr>
              <w:keepNext/>
              <w:keepLines/>
            </w:pPr>
            <w:r>
              <w:rPr>
                <w:sz w:val="18"/>
              </w:rPr>
              <w:t>V007</w:t>
            </w:r>
          </w:p>
        </w:tc>
        <w:tc>
          <w:tcPr>
            <w:tcW w:w="1860" w:type="dxa"/>
            <w:tcMar>
              <w:top w:w="0" w:type="dxa"/>
              <w:bottom w:w="0" w:type="dxa"/>
            </w:tcMar>
            <w:vAlign w:val="center"/>
          </w:tcPr>
          <w:p w14:paraId="7FC5B6F1" w14:textId="77777777" w:rsidR="00BB69DB" w:rsidRDefault="00BB69DB">
            <w:pPr>
              <w:keepNext/>
              <w:keepLines/>
              <w:jc w:val="right"/>
            </w:pPr>
            <w:r>
              <w:rPr>
                <w:sz w:val="18"/>
              </w:rPr>
              <w:t>0,00</w:t>
            </w:r>
          </w:p>
        </w:tc>
        <w:tc>
          <w:tcPr>
            <w:tcW w:w="700" w:type="dxa"/>
            <w:tcMar>
              <w:top w:w="0" w:type="dxa"/>
              <w:bottom w:w="0" w:type="dxa"/>
            </w:tcMar>
            <w:vAlign w:val="center"/>
          </w:tcPr>
          <w:p w14:paraId="5F082E1D" w14:textId="77777777" w:rsidR="00BB69DB" w:rsidRDefault="00BB69DB">
            <w:pPr>
              <w:keepNext/>
              <w:keepLines/>
              <w:jc w:val="right"/>
            </w:pPr>
            <w:r>
              <w:rPr>
                <w:sz w:val="18"/>
              </w:rPr>
              <w:t>-</w:t>
            </w:r>
          </w:p>
        </w:tc>
      </w:tr>
    </w:tbl>
    <w:p w14:paraId="7B5B8C2D" w14:textId="77777777" w:rsidR="00BB69DB" w:rsidRDefault="00BB69DB"/>
    <w:p w14:paraId="021D935C" w14:textId="77777777" w:rsidR="00BB69DB" w:rsidRDefault="00BB69DB" w:rsidP="00E161EF">
      <w:pPr>
        <w:jc w:val="both"/>
      </w:pPr>
      <w:r>
        <w:t>Na dan 31. prosinca 2025. godine Ministarstvo mora, prometa i infrastrukture nije imalo dospjelih nepodmirenih obveza.</w:t>
      </w:r>
    </w:p>
    <w:p w14:paraId="43AAF163" w14:textId="77777777" w:rsidR="00BB69DB" w:rsidRDefault="00BB69DB"/>
    <w:p w14:paraId="0FFB28F4" w14:textId="77777777" w:rsidR="00BB69DB" w:rsidRDefault="00BB69DB">
      <w:pPr>
        <w:keepNext/>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BB69DB" w14:paraId="05F0ABB6" w14:textId="77777777">
        <w:trPr>
          <w:cantSplit/>
        </w:trPr>
        <w:tc>
          <w:tcPr>
            <w:tcW w:w="700" w:type="dxa"/>
            <w:shd w:val="clear" w:color="auto" w:fill="E7F0F9"/>
            <w:tcMar>
              <w:top w:w="0" w:type="dxa"/>
              <w:bottom w:w="0" w:type="dxa"/>
            </w:tcMar>
            <w:vAlign w:val="center"/>
          </w:tcPr>
          <w:p w14:paraId="315ED5C9" w14:textId="77777777" w:rsidR="00BB69DB" w:rsidRDefault="00BB69DB">
            <w:pPr>
              <w:keepNext/>
              <w:keepLines/>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3C3BE4" w14:textId="77777777" w:rsidR="00BB69DB" w:rsidRDefault="00BB69DB">
            <w:pPr>
              <w:keepNext/>
              <w:keepLines/>
              <w:jc w:val="center"/>
            </w:pPr>
            <w:r>
              <w:rPr>
                <w:b/>
                <w:sz w:val="18"/>
              </w:rPr>
              <w:t>Opis stavke</w:t>
            </w:r>
          </w:p>
        </w:tc>
        <w:tc>
          <w:tcPr>
            <w:tcW w:w="700" w:type="dxa"/>
            <w:shd w:val="clear" w:color="auto" w:fill="E7F0F9"/>
            <w:tcMar>
              <w:top w:w="0" w:type="dxa"/>
              <w:bottom w:w="0" w:type="dxa"/>
            </w:tcMar>
            <w:vAlign w:val="center"/>
          </w:tcPr>
          <w:p w14:paraId="07D25254" w14:textId="77777777" w:rsidR="00BB69DB" w:rsidRDefault="00BB69DB">
            <w:pPr>
              <w:keepNext/>
              <w:keepLines/>
              <w:jc w:val="center"/>
            </w:pPr>
            <w:r>
              <w:rPr>
                <w:b/>
                <w:sz w:val="18"/>
              </w:rPr>
              <w:t>Šifra</w:t>
            </w:r>
          </w:p>
        </w:tc>
        <w:tc>
          <w:tcPr>
            <w:tcW w:w="1860" w:type="dxa"/>
            <w:shd w:val="clear" w:color="auto" w:fill="E7F0F9"/>
            <w:tcMar>
              <w:top w:w="0" w:type="dxa"/>
              <w:bottom w:w="0" w:type="dxa"/>
            </w:tcMar>
            <w:vAlign w:val="center"/>
          </w:tcPr>
          <w:p w14:paraId="2AAD1258" w14:textId="77777777" w:rsidR="00BB69DB" w:rsidRDefault="00BB69DB">
            <w:pPr>
              <w:keepNext/>
              <w:keepLines/>
              <w:jc w:val="center"/>
            </w:pPr>
            <w:r>
              <w:rPr>
                <w:b/>
                <w:sz w:val="18"/>
              </w:rPr>
              <w:t>Iznos</w:t>
            </w:r>
          </w:p>
        </w:tc>
        <w:tc>
          <w:tcPr>
            <w:tcW w:w="700" w:type="dxa"/>
            <w:shd w:val="clear" w:color="auto" w:fill="E7F0F9"/>
            <w:tcMar>
              <w:top w:w="0" w:type="dxa"/>
              <w:bottom w:w="0" w:type="dxa"/>
            </w:tcMar>
            <w:vAlign w:val="center"/>
          </w:tcPr>
          <w:p w14:paraId="4CA58BCA" w14:textId="77777777" w:rsidR="00BB69DB" w:rsidRDefault="00BB69DB">
            <w:pPr>
              <w:keepNext/>
              <w:keepLines/>
              <w:jc w:val="center"/>
            </w:pPr>
            <w:r>
              <w:rPr>
                <w:b/>
                <w:sz w:val="18"/>
              </w:rPr>
              <w:t>Indeks (%)</w:t>
            </w:r>
          </w:p>
        </w:tc>
      </w:tr>
      <w:tr w:rsidR="00BB69DB" w14:paraId="6E6137D1" w14:textId="77777777">
        <w:trPr>
          <w:cantSplit/>
          <w:trHeight w:val="560"/>
        </w:trPr>
        <w:tc>
          <w:tcPr>
            <w:tcW w:w="700" w:type="dxa"/>
            <w:tcMar>
              <w:top w:w="0" w:type="dxa"/>
              <w:bottom w:w="0" w:type="dxa"/>
            </w:tcMar>
            <w:vAlign w:val="center"/>
          </w:tcPr>
          <w:p w14:paraId="7CF82B19" w14:textId="77777777" w:rsidR="00BB69DB" w:rsidRDefault="00BB69DB">
            <w:pPr>
              <w:keepNext/>
              <w:keepLines/>
            </w:pPr>
          </w:p>
        </w:tc>
        <w:tc>
          <w:tcPr>
            <w:tcW w:w="3180" w:type="dxa"/>
            <w:tcMar>
              <w:top w:w="0" w:type="dxa"/>
              <w:bottom w:w="0" w:type="dxa"/>
            </w:tcMar>
            <w:vAlign w:val="center"/>
          </w:tcPr>
          <w:p w14:paraId="579A50F2" w14:textId="77777777" w:rsidR="00BB69DB" w:rsidRDefault="00BB69DB">
            <w:pPr>
              <w:keepNext/>
              <w:keepLines/>
            </w:pPr>
            <w:r>
              <w:rPr>
                <w:sz w:val="18"/>
              </w:rPr>
              <w:t>Stanje nedospjelih obveza na kraju izvještajnog razdoblja (šifre V010 + ND23 + ND24 + 'ND dio 25,26' + ND27)</w:t>
            </w:r>
          </w:p>
        </w:tc>
        <w:tc>
          <w:tcPr>
            <w:tcW w:w="700" w:type="dxa"/>
            <w:tcMar>
              <w:top w:w="0" w:type="dxa"/>
              <w:bottom w:w="0" w:type="dxa"/>
            </w:tcMar>
            <w:vAlign w:val="center"/>
          </w:tcPr>
          <w:p w14:paraId="56203F49" w14:textId="77777777" w:rsidR="00BB69DB" w:rsidRDefault="00BB69DB">
            <w:pPr>
              <w:keepNext/>
              <w:keepLines/>
            </w:pPr>
            <w:r>
              <w:rPr>
                <w:sz w:val="18"/>
              </w:rPr>
              <w:t>V009</w:t>
            </w:r>
          </w:p>
        </w:tc>
        <w:tc>
          <w:tcPr>
            <w:tcW w:w="1860" w:type="dxa"/>
            <w:tcMar>
              <w:top w:w="0" w:type="dxa"/>
              <w:bottom w:w="0" w:type="dxa"/>
            </w:tcMar>
            <w:vAlign w:val="center"/>
          </w:tcPr>
          <w:p w14:paraId="2E28B886" w14:textId="77777777" w:rsidR="00BB69DB" w:rsidRDefault="00BB69DB">
            <w:pPr>
              <w:keepNext/>
              <w:keepLines/>
              <w:jc w:val="right"/>
            </w:pPr>
            <w:r>
              <w:rPr>
                <w:sz w:val="18"/>
              </w:rPr>
              <w:t>130.099.809,92</w:t>
            </w:r>
          </w:p>
        </w:tc>
        <w:tc>
          <w:tcPr>
            <w:tcW w:w="700" w:type="dxa"/>
            <w:tcMar>
              <w:top w:w="0" w:type="dxa"/>
              <w:bottom w:w="0" w:type="dxa"/>
            </w:tcMar>
            <w:vAlign w:val="center"/>
          </w:tcPr>
          <w:p w14:paraId="6B3BC0D2" w14:textId="77777777" w:rsidR="00BB69DB" w:rsidRDefault="00BB69DB">
            <w:pPr>
              <w:keepNext/>
              <w:keepLines/>
              <w:jc w:val="right"/>
            </w:pPr>
            <w:r>
              <w:rPr>
                <w:sz w:val="18"/>
              </w:rPr>
              <w:t>-</w:t>
            </w:r>
          </w:p>
        </w:tc>
      </w:tr>
    </w:tbl>
    <w:p w14:paraId="22A72CC3" w14:textId="77777777" w:rsidR="00BB69DB" w:rsidRDefault="00BB69DB"/>
    <w:p w14:paraId="026CF49C" w14:textId="77777777" w:rsidR="00BB69DB" w:rsidRDefault="00BB69DB" w:rsidP="00E161EF">
      <w:pPr>
        <w:jc w:val="both"/>
      </w:pPr>
      <w:r>
        <w:t>Najveće evidentirane obveze odnose se na obveze za povrat u Državni proračun (106.951.338,62 EUR) i obveze za naknade šteta pravnim i fizičkim osobama u iznosu od 21.462.201,91 EUR, a koje se odnose se na obveze za izuzeto javno dobro koje dospijevaju u  2026. i 2027. godini.</w:t>
      </w:r>
    </w:p>
    <w:p w14:paraId="28F0A7E4" w14:textId="77777777" w:rsidR="00BB69DB" w:rsidRDefault="00BB69DB"/>
    <w:p w14:paraId="3365978B" w14:textId="77777777" w:rsidR="00BB69DB" w:rsidRDefault="00BB69DB" w:rsidP="0027034B">
      <w:pPr>
        <w:spacing w:after="120"/>
      </w:pPr>
      <w:r w:rsidRPr="00AA3333">
        <w:t>Prilog 1. Popis sudskih sporova s osnove obveza i potraživanj</w:t>
      </w:r>
      <w:r>
        <w:t>a</w:t>
      </w:r>
    </w:p>
    <w:tbl>
      <w:tblPr>
        <w:tblpPr w:leftFromText="180" w:rightFromText="180" w:vertAnchor="text" w:tblpX="40" w:tblpY="1"/>
        <w:tblOverlap w:val="neve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2560"/>
        <w:gridCol w:w="2560"/>
      </w:tblGrid>
      <w:tr w:rsidR="00BB69DB" w14:paraId="79D300A3" w14:textId="77777777" w:rsidTr="0027034B">
        <w:trPr>
          <w:cantSplit/>
        </w:trPr>
        <w:tc>
          <w:tcPr>
            <w:tcW w:w="9000" w:type="dxa"/>
            <w:gridSpan w:val="4"/>
            <w:shd w:val="clear" w:color="auto" w:fill="E7F0F9"/>
            <w:tcMar>
              <w:top w:w="0" w:type="dxa"/>
              <w:bottom w:w="0" w:type="dxa"/>
            </w:tcMar>
            <w:vAlign w:val="center"/>
          </w:tcPr>
          <w:p w14:paraId="5B738570" w14:textId="77777777" w:rsidR="00BB69DB" w:rsidRPr="00A8245B" w:rsidRDefault="00BB69DB" w:rsidP="0027034B">
            <w:pPr>
              <w:keepNext/>
              <w:keepLines/>
              <w:spacing w:before="120" w:after="120"/>
              <w:rPr>
                <w:b/>
                <w:sz w:val="18"/>
                <w:szCs w:val="18"/>
              </w:rPr>
            </w:pPr>
            <w:r w:rsidRPr="00A8245B">
              <w:rPr>
                <w:b/>
                <w:bCs/>
                <w:sz w:val="18"/>
                <w:szCs w:val="18"/>
              </w:rPr>
              <w:t xml:space="preserve">Pregled sudskih sporova iz evidencije </w:t>
            </w:r>
            <w:r>
              <w:rPr>
                <w:b/>
                <w:bCs/>
                <w:sz w:val="18"/>
                <w:szCs w:val="18"/>
              </w:rPr>
              <w:t>MMPI</w:t>
            </w:r>
            <w:r w:rsidRPr="00A8245B">
              <w:rPr>
                <w:b/>
                <w:bCs/>
                <w:sz w:val="18"/>
                <w:szCs w:val="18"/>
              </w:rPr>
              <w:t xml:space="preserve">-a u kojima je </w:t>
            </w:r>
            <w:r>
              <w:rPr>
                <w:b/>
                <w:bCs/>
                <w:sz w:val="18"/>
                <w:szCs w:val="18"/>
              </w:rPr>
              <w:t>RH</w:t>
            </w:r>
            <w:r w:rsidRPr="00A8245B">
              <w:rPr>
                <w:b/>
                <w:bCs/>
                <w:sz w:val="18"/>
                <w:szCs w:val="18"/>
              </w:rPr>
              <w:t xml:space="preserve"> stranka</w:t>
            </w:r>
          </w:p>
        </w:tc>
      </w:tr>
      <w:tr w:rsidR="00BB69DB" w14:paraId="5E7499D0" w14:textId="77777777" w:rsidTr="0027034B">
        <w:trPr>
          <w:cantSplit/>
        </w:trPr>
        <w:tc>
          <w:tcPr>
            <w:tcW w:w="700" w:type="dxa"/>
            <w:shd w:val="clear" w:color="auto" w:fill="E7F0F9"/>
            <w:tcMar>
              <w:top w:w="0" w:type="dxa"/>
              <w:bottom w:w="0" w:type="dxa"/>
            </w:tcMar>
            <w:vAlign w:val="center"/>
          </w:tcPr>
          <w:p w14:paraId="2ECC5D16" w14:textId="77777777" w:rsidR="00BB69DB" w:rsidRDefault="00BB69DB" w:rsidP="0027034B">
            <w:pPr>
              <w:keepNext/>
              <w:keepLines/>
              <w:spacing w:before="120" w:after="120"/>
              <w:jc w:val="center"/>
            </w:pPr>
            <w:r>
              <w:rPr>
                <w:b/>
                <w:sz w:val="18"/>
              </w:rPr>
              <w:t>RB.</w:t>
            </w:r>
          </w:p>
        </w:tc>
        <w:tc>
          <w:tcPr>
            <w:tcW w:w="3180" w:type="dxa"/>
            <w:shd w:val="clear" w:color="auto" w:fill="E7F0F9"/>
            <w:tcMar>
              <w:top w:w="0" w:type="dxa"/>
              <w:bottom w:w="0" w:type="dxa"/>
            </w:tcMar>
            <w:vAlign w:val="center"/>
          </w:tcPr>
          <w:p w14:paraId="711BCFCF" w14:textId="77777777" w:rsidR="00BB69DB" w:rsidRDefault="00BB69DB" w:rsidP="0027034B">
            <w:pPr>
              <w:keepNext/>
              <w:keepLines/>
              <w:spacing w:before="120" w:after="120"/>
              <w:jc w:val="center"/>
            </w:pPr>
            <w:r>
              <w:rPr>
                <w:b/>
                <w:sz w:val="18"/>
              </w:rPr>
              <w:t>BROJ PREDMETA</w:t>
            </w:r>
          </w:p>
        </w:tc>
        <w:tc>
          <w:tcPr>
            <w:tcW w:w="2560" w:type="dxa"/>
            <w:shd w:val="clear" w:color="auto" w:fill="E7F0F9"/>
            <w:tcMar>
              <w:top w:w="0" w:type="dxa"/>
              <w:bottom w:w="0" w:type="dxa"/>
            </w:tcMar>
            <w:vAlign w:val="center"/>
          </w:tcPr>
          <w:p w14:paraId="53002897" w14:textId="77777777" w:rsidR="00BB69DB" w:rsidRDefault="00BB69DB" w:rsidP="0027034B">
            <w:pPr>
              <w:keepNext/>
              <w:keepLines/>
              <w:spacing w:before="120" w:after="120"/>
              <w:jc w:val="center"/>
            </w:pPr>
            <w:r>
              <w:rPr>
                <w:b/>
                <w:sz w:val="18"/>
              </w:rPr>
              <w:t>PRAVNA OSNOVA</w:t>
            </w:r>
          </w:p>
        </w:tc>
        <w:tc>
          <w:tcPr>
            <w:tcW w:w="2560" w:type="dxa"/>
            <w:shd w:val="clear" w:color="auto" w:fill="E7F0F9"/>
            <w:tcMar>
              <w:top w:w="0" w:type="dxa"/>
              <w:bottom w:w="0" w:type="dxa"/>
            </w:tcMar>
            <w:vAlign w:val="center"/>
          </w:tcPr>
          <w:p w14:paraId="48221461" w14:textId="77777777" w:rsidR="00BB69DB" w:rsidRDefault="00BB69DB" w:rsidP="0027034B">
            <w:pPr>
              <w:keepNext/>
              <w:keepLines/>
              <w:spacing w:before="120" w:after="120"/>
              <w:jc w:val="center"/>
            </w:pPr>
            <w:r>
              <w:rPr>
                <w:b/>
                <w:sz w:val="18"/>
              </w:rPr>
              <w:t>V.P.S.</w:t>
            </w:r>
          </w:p>
        </w:tc>
      </w:tr>
      <w:tr w:rsidR="00BB69DB" w:rsidRPr="00A8245B" w14:paraId="0EF3EFF4" w14:textId="77777777" w:rsidTr="0027034B">
        <w:trPr>
          <w:cantSplit/>
        </w:trPr>
        <w:tc>
          <w:tcPr>
            <w:tcW w:w="700" w:type="dxa"/>
            <w:tcBorders>
              <w:top w:val="single" w:sz="12"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3A3DB2D4" w14:textId="77777777" w:rsidR="00BB69DB" w:rsidRPr="00A8245B" w:rsidRDefault="00BB69DB" w:rsidP="0027034B">
            <w:pPr>
              <w:keepNext/>
              <w:keepLines/>
            </w:pPr>
            <w:r w:rsidRPr="00A8245B">
              <w:t>1.</w:t>
            </w:r>
          </w:p>
        </w:tc>
        <w:tc>
          <w:tcPr>
            <w:tcW w:w="3180" w:type="dxa"/>
            <w:tcBorders>
              <w:top w:val="single" w:sz="12"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6C0248ED" w14:textId="77777777" w:rsidR="00BB69DB" w:rsidRPr="00A8245B" w:rsidRDefault="00BB69DB" w:rsidP="0027034B">
            <w:pPr>
              <w:keepNext/>
              <w:keepLines/>
            </w:pPr>
            <w:r w:rsidRPr="00A8245B">
              <w:t>Ovrv-3489/15</w:t>
            </w:r>
          </w:p>
        </w:tc>
        <w:tc>
          <w:tcPr>
            <w:tcW w:w="2560" w:type="dxa"/>
            <w:tcBorders>
              <w:top w:val="single" w:sz="12"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2EB4AB1A" w14:textId="77777777" w:rsidR="00BB69DB" w:rsidRPr="00A8245B" w:rsidRDefault="00BB69DB" w:rsidP="0027034B">
            <w:pPr>
              <w:keepNext/>
              <w:keepLines/>
            </w:pPr>
            <w:r w:rsidRPr="00A8245B">
              <w:t>radi: ovršnog postupka uvođenja u dio poslovnog prostora</w:t>
            </w:r>
          </w:p>
        </w:tc>
        <w:tc>
          <w:tcPr>
            <w:tcW w:w="2560" w:type="dxa"/>
            <w:tcBorders>
              <w:top w:val="single" w:sz="12"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6414D9C9" w14:textId="77777777" w:rsidR="00BB69DB" w:rsidRPr="00A8245B" w:rsidRDefault="00BB69DB" w:rsidP="0027034B">
            <w:pPr>
              <w:keepNext/>
              <w:keepLines/>
              <w:jc w:val="right"/>
            </w:pPr>
            <w:r w:rsidRPr="00A8245B">
              <w:t xml:space="preserve">                      39,82 € </w:t>
            </w:r>
          </w:p>
        </w:tc>
      </w:tr>
      <w:tr w:rsidR="00BB69DB" w:rsidRPr="00A8245B" w14:paraId="358AE40E"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3F4927C0" w14:textId="77777777" w:rsidR="00BB69DB" w:rsidRPr="00A8245B" w:rsidRDefault="00BB69DB" w:rsidP="0027034B">
            <w:pPr>
              <w:keepNext/>
              <w:keepLines/>
            </w:pPr>
            <w:r w:rsidRPr="00A8245B">
              <w:t>2.</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7486CEDB" w14:textId="77777777" w:rsidR="00BB69DB" w:rsidRPr="00A8245B" w:rsidRDefault="00BB69DB" w:rsidP="0027034B">
            <w:pPr>
              <w:keepNext/>
              <w:keepLines/>
            </w:pPr>
            <w:r w:rsidRPr="00A8245B">
              <w:t>P-6501/01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72BAAD27" w14:textId="77777777" w:rsidR="00BB69DB" w:rsidRPr="00A8245B" w:rsidRDefault="00BB69DB" w:rsidP="0027034B">
            <w:pPr>
              <w:keepNext/>
              <w:keepLines/>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7E91AC46" w14:textId="77777777" w:rsidR="00BB69DB" w:rsidRPr="00A8245B" w:rsidRDefault="00BB69DB" w:rsidP="0027034B">
            <w:pPr>
              <w:keepNext/>
              <w:keepLines/>
              <w:jc w:val="right"/>
            </w:pPr>
            <w:r w:rsidRPr="00A8245B">
              <w:t xml:space="preserve">           208.959,14 € </w:t>
            </w:r>
          </w:p>
        </w:tc>
      </w:tr>
      <w:tr w:rsidR="00BB69DB" w:rsidRPr="00A8245B" w14:paraId="60099A4B"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2C5BB2D9" w14:textId="77777777" w:rsidR="00BB69DB" w:rsidRPr="00A8245B" w:rsidRDefault="00BB69DB" w:rsidP="0027034B">
            <w:pPr>
              <w:keepNext/>
              <w:keepLines/>
            </w:pPr>
            <w:r w:rsidRPr="00A8245B">
              <w:t>3.</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54E8E66E" w14:textId="77777777" w:rsidR="00BB69DB" w:rsidRPr="00A8245B" w:rsidRDefault="00BB69DB" w:rsidP="0027034B">
            <w:pPr>
              <w:keepNext/>
              <w:keepLines/>
            </w:pPr>
            <w:r w:rsidRPr="00A8245B">
              <w:t>P-475/09</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05DCDB43" w14:textId="77777777" w:rsidR="00BB69DB" w:rsidRPr="00A8245B" w:rsidRDefault="00BB69DB" w:rsidP="0027034B">
            <w:pPr>
              <w:keepNext/>
              <w:keepLines/>
            </w:pPr>
            <w:r w:rsidRPr="00A8245B">
              <w:t>radi utvrđivanja prava vlasništva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04D44FE4" w14:textId="77777777" w:rsidR="00BB69DB" w:rsidRPr="00A8245B" w:rsidRDefault="00BB69DB" w:rsidP="0027034B">
            <w:pPr>
              <w:keepNext/>
              <w:keepLines/>
              <w:jc w:val="right"/>
            </w:pPr>
            <w:r w:rsidRPr="00A8245B">
              <w:t xml:space="preserve">                1.327,23 € </w:t>
            </w:r>
          </w:p>
        </w:tc>
      </w:tr>
      <w:tr w:rsidR="00BB69DB" w:rsidRPr="00A8245B" w14:paraId="3C2968C0"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6B711F7D" w14:textId="77777777" w:rsidR="00BB69DB" w:rsidRPr="00A8245B" w:rsidRDefault="00BB69DB" w:rsidP="0027034B">
            <w:pPr>
              <w:keepNext/>
              <w:keepLines/>
            </w:pPr>
            <w:r w:rsidRPr="00A8245B">
              <w:t>4.</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6DD1DBFE" w14:textId="77777777" w:rsidR="00BB69DB" w:rsidRPr="00A8245B" w:rsidRDefault="00BB69DB" w:rsidP="0027034B">
            <w:pPr>
              <w:keepNext/>
              <w:keepLines/>
            </w:pPr>
            <w:r w:rsidRPr="00A8245B">
              <w:t xml:space="preserve">P-35/12, </w:t>
            </w:r>
            <w:proofErr w:type="spellStart"/>
            <w:r w:rsidRPr="00A8245B">
              <w:t>Pž</w:t>
            </w:r>
            <w:proofErr w:type="spellEnd"/>
            <w:r w:rsidRPr="00A8245B">
              <w:t xml:space="preserve"> 4660/13</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26F19A88" w14:textId="77777777" w:rsidR="00BB69DB" w:rsidRPr="00A8245B" w:rsidRDefault="00BB69DB" w:rsidP="0027034B">
            <w:pPr>
              <w:keepNext/>
              <w:keepLines/>
            </w:pPr>
            <w:r w:rsidRPr="00A8245B">
              <w:t>radi isplate stečenog bez osnove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1DC2259B" w14:textId="77777777" w:rsidR="00BB69DB" w:rsidRPr="00A8245B" w:rsidRDefault="00BB69DB" w:rsidP="0027034B">
            <w:pPr>
              <w:keepNext/>
              <w:keepLines/>
              <w:jc w:val="right"/>
            </w:pPr>
            <w:r w:rsidRPr="00A8245B">
              <w:t xml:space="preserve">                9.709,34 € </w:t>
            </w:r>
          </w:p>
        </w:tc>
      </w:tr>
      <w:tr w:rsidR="00BB69DB" w:rsidRPr="00A8245B" w14:paraId="040313A6"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1BA4657E" w14:textId="77777777" w:rsidR="00BB69DB" w:rsidRPr="00A8245B" w:rsidRDefault="00BB69DB" w:rsidP="0027034B">
            <w:pPr>
              <w:keepNext/>
              <w:keepLines/>
            </w:pPr>
            <w:r w:rsidRPr="00A8245B">
              <w:lastRenderedPageBreak/>
              <w:t>5.</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0CD66127" w14:textId="77777777" w:rsidR="00BB69DB" w:rsidRPr="00A8245B" w:rsidRDefault="00BB69DB" w:rsidP="0027034B">
            <w:pPr>
              <w:keepNext/>
              <w:keepLines/>
            </w:pPr>
            <w:r w:rsidRPr="00A8245B">
              <w:t>P-268/14</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1759C87F" w14:textId="77777777" w:rsidR="00BB69DB" w:rsidRPr="00A8245B" w:rsidRDefault="00BB69DB" w:rsidP="0027034B">
            <w:pPr>
              <w:keepNext/>
              <w:keepLines/>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6A6D73DF" w14:textId="77777777" w:rsidR="00BB69DB" w:rsidRPr="00A8245B" w:rsidRDefault="00BB69DB" w:rsidP="0027034B">
            <w:pPr>
              <w:keepNext/>
              <w:keepLines/>
              <w:jc w:val="right"/>
            </w:pPr>
            <w:r w:rsidRPr="00A8245B">
              <w:t xml:space="preserve">              52.637,87 € </w:t>
            </w:r>
          </w:p>
        </w:tc>
      </w:tr>
      <w:tr w:rsidR="00BB69DB" w:rsidRPr="00A8245B" w14:paraId="22993419"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05156E6C" w14:textId="77777777" w:rsidR="00BB69DB" w:rsidRPr="00A8245B" w:rsidRDefault="00BB69DB" w:rsidP="0027034B">
            <w:pPr>
              <w:keepNext/>
              <w:keepLines/>
            </w:pPr>
            <w:r w:rsidRPr="00A8245B">
              <w:t>6.</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2239D1AB" w14:textId="77777777" w:rsidR="00BB69DB" w:rsidRPr="00A8245B" w:rsidRDefault="00BB69DB" w:rsidP="0027034B">
            <w:pPr>
              <w:keepNext/>
              <w:keepLines/>
            </w:pPr>
            <w:r w:rsidRPr="00A8245B">
              <w:t>P-4787/05</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1F2D5BF3" w14:textId="77777777" w:rsidR="00BB69DB" w:rsidRPr="00A8245B" w:rsidRDefault="00BB69DB" w:rsidP="0027034B">
            <w:pPr>
              <w:keepNext/>
              <w:keepLines/>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2A2D300D" w14:textId="77777777" w:rsidR="00BB69DB" w:rsidRPr="00A8245B" w:rsidRDefault="00BB69DB" w:rsidP="0027034B">
            <w:pPr>
              <w:keepNext/>
              <w:keepLines/>
              <w:jc w:val="right"/>
            </w:pPr>
            <w:r w:rsidRPr="00A8245B">
              <w:t xml:space="preserve">           113.337,86 € </w:t>
            </w:r>
          </w:p>
        </w:tc>
      </w:tr>
      <w:tr w:rsidR="00BB69DB" w:rsidRPr="00A8245B" w14:paraId="32721DD6"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6A706099" w14:textId="77777777" w:rsidR="00BB69DB" w:rsidRPr="00A8245B" w:rsidRDefault="00BB69DB" w:rsidP="0027034B">
            <w:pPr>
              <w:keepNext/>
              <w:keepLines/>
            </w:pPr>
            <w:r w:rsidRPr="00A8245B">
              <w:t>7.</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7436AC4A" w14:textId="77777777" w:rsidR="00BB69DB" w:rsidRPr="00A8245B" w:rsidRDefault="00BB69DB" w:rsidP="0027034B">
            <w:pPr>
              <w:keepNext/>
              <w:keepLines/>
            </w:pPr>
            <w:r w:rsidRPr="00A8245B">
              <w:t>P-2425/16-1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707C837F" w14:textId="77777777" w:rsidR="00BB69DB" w:rsidRPr="00A8245B" w:rsidRDefault="00BB69DB" w:rsidP="0027034B">
            <w:pPr>
              <w:keepNext/>
              <w:keepLines/>
            </w:pPr>
            <w:r w:rsidRPr="00A8245B">
              <w:t>radi brisanja uknjižbe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73CD9FA3" w14:textId="77777777" w:rsidR="00BB69DB" w:rsidRPr="00A8245B" w:rsidRDefault="00BB69DB" w:rsidP="0027034B">
            <w:pPr>
              <w:keepNext/>
              <w:keepLines/>
              <w:jc w:val="right"/>
            </w:pPr>
            <w:r w:rsidRPr="00A8245B">
              <w:t xml:space="preserve">              26.544,56 € </w:t>
            </w:r>
          </w:p>
        </w:tc>
      </w:tr>
      <w:tr w:rsidR="00BB69DB" w:rsidRPr="00A8245B" w14:paraId="63EB62A2"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5EEF6AB0" w14:textId="77777777" w:rsidR="00BB69DB" w:rsidRPr="00A8245B" w:rsidRDefault="00BB69DB" w:rsidP="0027034B">
            <w:pPr>
              <w:keepNext/>
              <w:keepLines/>
            </w:pPr>
            <w:r w:rsidRPr="00A8245B">
              <w:t>8.</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21DCDAE0" w14:textId="77777777" w:rsidR="00BB69DB" w:rsidRPr="00A8245B" w:rsidRDefault="00BB69DB" w:rsidP="0027034B">
            <w:pPr>
              <w:keepNext/>
              <w:keepLines/>
            </w:pPr>
            <w:r w:rsidRPr="00A8245B">
              <w:t>-</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30C57D4C" w14:textId="77777777" w:rsidR="00BB69DB" w:rsidRPr="00A8245B" w:rsidRDefault="00BB69DB" w:rsidP="0027034B">
            <w:pPr>
              <w:keepNext/>
              <w:keepLines/>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23648FBF" w14:textId="77777777" w:rsidR="00BB69DB" w:rsidRPr="00A8245B" w:rsidRDefault="00BB69DB" w:rsidP="0027034B">
            <w:pPr>
              <w:keepNext/>
              <w:keepLines/>
              <w:jc w:val="right"/>
            </w:pPr>
            <w:r w:rsidRPr="00A8245B">
              <w:t xml:space="preserve">        2.486.551,21 € </w:t>
            </w:r>
          </w:p>
        </w:tc>
      </w:tr>
      <w:tr w:rsidR="00BB69DB" w:rsidRPr="00A8245B" w14:paraId="58144AC0"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5833CF4B" w14:textId="77777777" w:rsidR="00BB69DB" w:rsidRPr="00A8245B" w:rsidRDefault="00BB69DB" w:rsidP="0027034B">
            <w:pPr>
              <w:keepNext/>
              <w:keepLines/>
            </w:pPr>
            <w:r w:rsidRPr="00A8245B">
              <w:t>9.</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56A46668" w14:textId="77777777" w:rsidR="00BB69DB" w:rsidRPr="00A8245B" w:rsidRDefault="00BB69DB" w:rsidP="0027034B">
            <w:pPr>
              <w:keepNext/>
              <w:keepLines/>
            </w:pPr>
            <w:r w:rsidRPr="00A8245B">
              <w:t>Pž-5857/19</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7BF98EC7" w14:textId="77777777" w:rsidR="00BB69DB" w:rsidRPr="00A8245B" w:rsidRDefault="00BB69DB" w:rsidP="0027034B">
            <w:pPr>
              <w:keepNext/>
              <w:keepLines/>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2FE750D2" w14:textId="77777777" w:rsidR="00BB69DB" w:rsidRPr="00A8245B" w:rsidRDefault="00BB69DB" w:rsidP="0027034B">
            <w:pPr>
              <w:keepNext/>
              <w:keepLines/>
              <w:jc w:val="right"/>
            </w:pPr>
            <w:r w:rsidRPr="00A8245B">
              <w:t xml:space="preserve">              72.180,58 € </w:t>
            </w:r>
          </w:p>
        </w:tc>
      </w:tr>
      <w:tr w:rsidR="00BB69DB" w:rsidRPr="00A8245B" w14:paraId="37178C62"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1D848603" w14:textId="77777777" w:rsidR="00BB69DB" w:rsidRPr="00A8245B" w:rsidRDefault="00BB69DB" w:rsidP="0027034B">
            <w:pPr>
              <w:keepNext/>
              <w:keepLines/>
            </w:pPr>
            <w:r w:rsidRPr="00A8245B">
              <w:t>10.</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0015E7E7" w14:textId="77777777" w:rsidR="00BB69DB" w:rsidRPr="00A8245B" w:rsidRDefault="00BB69DB" w:rsidP="0027034B">
            <w:pPr>
              <w:keepNext/>
              <w:keepLines/>
            </w:pPr>
            <w:r w:rsidRPr="00A8245B">
              <w:t>P-1737</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636E2EFB" w14:textId="77777777" w:rsidR="00BB69DB" w:rsidRPr="00A8245B" w:rsidRDefault="00BB69DB" w:rsidP="0027034B">
            <w:pPr>
              <w:keepNext/>
              <w:keepLines/>
            </w:pPr>
            <w:r w:rsidRPr="00A8245B">
              <w:t>naknada štete, izmakle dobiti, nepravilni rad TDU</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150D3784" w14:textId="77777777" w:rsidR="00BB69DB" w:rsidRPr="00A8245B" w:rsidRDefault="00BB69DB" w:rsidP="0027034B">
            <w:pPr>
              <w:keepNext/>
              <w:keepLines/>
              <w:jc w:val="right"/>
            </w:pPr>
            <w:r w:rsidRPr="00A8245B">
              <w:t xml:space="preserve">     36.001.566,66 € </w:t>
            </w:r>
          </w:p>
        </w:tc>
      </w:tr>
      <w:tr w:rsidR="00BB69DB" w:rsidRPr="00A8245B" w14:paraId="62DBF46D"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1D7165BE" w14:textId="77777777" w:rsidR="00BB69DB" w:rsidRPr="00A8245B" w:rsidRDefault="00BB69DB" w:rsidP="0027034B">
            <w:pPr>
              <w:keepNext/>
              <w:keepLines/>
            </w:pPr>
            <w:r w:rsidRPr="00A8245B">
              <w:t>11.</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2258F135" w14:textId="77777777" w:rsidR="00BB69DB" w:rsidRPr="00A8245B" w:rsidRDefault="00BB69DB" w:rsidP="0027034B">
            <w:pPr>
              <w:keepNext/>
              <w:keepLines/>
            </w:pPr>
            <w:r w:rsidRPr="00A8245B">
              <w:t>P-1979/19</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492A4729" w14:textId="77777777" w:rsidR="00BB69DB" w:rsidRPr="00A8245B" w:rsidRDefault="00BB69DB" w:rsidP="0027034B">
            <w:pPr>
              <w:keepNext/>
              <w:keepLines/>
            </w:pPr>
            <w:r w:rsidRPr="00A8245B">
              <w:t>naknada štete radi odgovornosti RH za propuste u radu TDU</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75F8BF9E" w14:textId="77777777" w:rsidR="00BB69DB" w:rsidRPr="00A8245B" w:rsidRDefault="00BB69DB" w:rsidP="0027034B">
            <w:pPr>
              <w:keepNext/>
              <w:keepLines/>
              <w:jc w:val="right"/>
            </w:pPr>
            <w:r w:rsidRPr="00A8245B">
              <w:t xml:space="preserve">     36.001.566,66 € </w:t>
            </w:r>
          </w:p>
        </w:tc>
      </w:tr>
      <w:tr w:rsidR="00BB69DB" w:rsidRPr="00A8245B" w14:paraId="1262FE20"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2B3CE652" w14:textId="77777777" w:rsidR="00BB69DB" w:rsidRPr="00A8245B" w:rsidRDefault="00BB69DB" w:rsidP="0027034B">
            <w:pPr>
              <w:keepNext/>
              <w:keepLines/>
            </w:pPr>
            <w:r w:rsidRPr="00A8245B">
              <w:t>12.</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5A5CA0C5" w14:textId="77777777" w:rsidR="00BB69DB" w:rsidRPr="00A8245B" w:rsidRDefault="00BB69DB" w:rsidP="0027034B">
            <w:pPr>
              <w:keepNext/>
              <w:keepLines/>
            </w:pPr>
            <w:r w:rsidRPr="00A8245B">
              <w:t>P-107/18</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2E907C43" w14:textId="77777777" w:rsidR="00BB69DB" w:rsidRPr="00A8245B" w:rsidRDefault="00BB69DB" w:rsidP="0027034B">
            <w:pPr>
              <w:keepNext/>
              <w:keepLines/>
            </w:pPr>
            <w:r w:rsidRPr="00A8245B">
              <w:t>stjecanje bez osnove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77FBCFE2" w14:textId="77777777" w:rsidR="00BB69DB" w:rsidRPr="00A8245B" w:rsidRDefault="00BB69DB" w:rsidP="0027034B">
            <w:pPr>
              <w:keepNext/>
              <w:keepLines/>
              <w:jc w:val="right"/>
            </w:pPr>
            <w:r w:rsidRPr="00A8245B">
              <w:t xml:space="preserve">     16.041.154,69 € </w:t>
            </w:r>
          </w:p>
        </w:tc>
      </w:tr>
      <w:tr w:rsidR="00BB69DB" w:rsidRPr="00A8245B" w14:paraId="31B70551"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7ABBD030" w14:textId="77777777" w:rsidR="00BB69DB" w:rsidRPr="00A8245B" w:rsidRDefault="00BB69DB" w:rsidP="0027034B">
            <w:pPr>
              <w:keepNext/>
              <w:keepLines/>
            </w:pPr>
            <w:r w:rsidRPr="00A8245B">
              <w:t>13.</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122EB4FB" w14:textId="77777777" w:rsidR="00BB69DB" w:rsidRPr="00A8245B" w:rsidRDefault="00BB69DB" w:rsidP="0027034B">
            <w:pPr>
              <w:keepNext/>
              <w:keepLines/>
            </w:pPr>
            <w:r w:rsidRPr="00A8245B">
              <w:t>P-784/11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24E1B842" w14:textId="77777777" w:rsidR="00BB69DB" w:rsidRPr="00A8245B" w:rsidRDefault="00BB69DB" w:rsidP="0027034B">
            <w:pPr>
              <w:keepNext/>
              <w:keepLines/>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026682DD" w14:textId="77777777" w:rsidR="00BB69DB" w:rsidRPr="00A8245B" w:rsidRDefault="00BB69DB" w:rsidP="0027034B">
            <w:pPr>
              <w:keepNext/>
              <w:keepLines/>
              <w:jc w:val="right"/>
            </w:pPr>
            <w:r w:rsidRPr="00A8245B">
              <w:t xml:space="preserve">        7.935.929,01 € </w:t>
            </w:r>
          </w:p>
        </w:tc>
      </w:tr>
      <w:tr w:rsidR="00BB69DB" w:rsidRPr="00A8245B" w14:paraId="7428C0D3"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5553D4A3" w14:textId="77777777" w:rsidR="00BB69DB" w:rsidRPr="00A8245B" w:rsidRDefault="00BB69DB" w:rsidP="0027034B">
            <w:pPr>
              <w:keepNext/>
              <w:keepLines/>
            </w:pPr>
            <w:r w:rsidRPr="00A8245B">
              <w:t>14.</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0C114464" w14:textId="77777777" w:rsidR="00BB69DB" w:rsidRPr="00A8245B" w:rsidRDefault="00BB69DB" w:rsidP="0027034B">
            <w:pPr>
              <w:keepNext/>
              <w:keepLines/>
            </w:pPr>
            <w:r w:rsidRPr="00A8245B">
              <w:t>P-111/12, žalbeni Pž-2235/22</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0D795545" w14:textId="77777777" w:rsidR="00BB69DB" w:rsidRPr="00A8245B" w:rsidRDefault="00BB69DB" w:rsidP="0027034B">
            <w:pPr>
              <w:keepNext/>
              <w:keepLines/>
            </w:pPr>
            <w:r w:rsidRPr="00A8245B">
              <w:t>naknada štete radi odgovornosti RH za propuste u radu TDU</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02C9009A" w14:textId="77777777" w:rsidR="00BB69DB" w:rsidRPr="00A8245B" w:rsidRDefault="00BB69DB" w:rsidP="0027034B">
            <w:pPr>
              <w:keepNext/>
              <w:keepLines/>
              <w:jc w:val="right"/>
            </w:pPr>
            <w:r w:rsidRPr="00A8245B">
              <w:t xml:space="preserve">           159.267,37 € </w:t>
            </w:r>
          </w:p>
        </w:tc>
      </w:tr>
      <w:tr w:rsidR="00BB69DB" w:rsidRPr="00A8245B" w14:paraId="65A162AC"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5A7A574A" w14:textId="77777777" w:rsidR="00BB69DB" w:rsidRPr="00A8245B" w:rsidRDefault="00BB69DB" w:rsidP="0027034B">
            <w:pPr>
              <w:keepNext/>
              <w:keepLines/>
            </w:pPr>
            <w:r w:rsidRPr="00A8245B">
              <w:t>15.</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22738D5F" w14:textId="77777777" w:rsidR="00BB69DB" w:rsidRPr="00A8245B" w:rsidRDefault="00BB69DB" w:rsidP="0027034B">
            <w:pPr>
              <w:keepNext/>
              <w:keepLines/>
            </w:pPr>
            <w:r w:rsidRPr="00A8245B">
              <w:t>P-DO-47/18</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46034709" w14:textId="77777777" w:rsidR="00BB69DB" w:rsidRPr="00A8245B" w:rsidRDefault="00BB69DB" w:rsidP="0027034B">
            <w:pPr>
              <w:keepNext/>
              <w:keepLines/>
            </w:pPr>
            <w:r w:rsidRPr="00A8245B">
              <w:t>naknada štete  - nezakonit rad LU Split</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06C8EFBA" w14:textId="77777777" w:rsidR="00BB69DB" w:rsidRPr="00A8245B" w:rsidRDefault="00BB69DB" w:rsidP="0027034B">
            <w:pPr>
              <w:keepNext/>
              <w:keepLines/>
              <w:jc w:val="right"/>
            </w:pPr>
            <w:r w:rsidRPr="00A8245B">
              <w:t xml:space="preserve">        4.645.298,29 € </w:t>
            </w:r>
          </w:p>
        </w:tc>
      </w:tr>
      <w:tr w:rsidR="00BB69DB" w:rsidRPr="00A8245B" w14:paraId="28E67B54"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7B5351D9" w14:textId="77777777" w:rsidR="00BB69DB" w:rsidRPr="00A8245B" w:rsidRDefault="00BB69DB" w:rsidP="0027034B">
            <w:pPr>
              <w:keepNext/>
              <w:keepLines/>
            </w:pPr>
            <w:r w:rsidRPr="00A8245B">
              <w:t>16.</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4677EB37" w14:textId="77777777" w:rsidR="00BB69DB" w:rsidRPr="00A8245B" w:rsidRDefault="00BB69DB" w:rsidP="0027034B">
            <w:pPr>
              <w:keepNext/>
              <w:keepLines/>
            </w:pPr>
            <w:r w:rsidRPr="00A8245B">
              <w:t>P-DO-326/2020</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018780B7" w14:textId="77777777" w:rsidR="00BB69DB" w:rsidRPr="00A8245B" w:rsidRDefault="00BB69DB" w:rsidP="0027034B">
            <w:pPr>
              <w:keepNext/>
              <w:keepLines/>
            </w:pPr>
            <w:r w:rsidRPr="00A8245B">
              <w:t>naknada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466196E4" w14:textId="77777777" w:rsidR="00BB69DB" w:rsidRPr="00A8245B" w:rsidRDefault="00BB69DB" w:rsidP="0027034B">
            <w:pPr>
              <w:keepNext/>
              <w:keepLines/>
              <w:jc w:val="right"/>
            </w:pPr>
            <w:r w:rsidRPr="00A8245B">
              <w:t xml:space="preserve">     19.521.185,70 € </w:t>
            </w:r>
          </w:p>
        </w:tc>
      </w:tr>
      <w:tr w:rsidR="00BB69DB" w:rsidRPr="00A8245B" w14:paraId="7CED9BEF"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2D1603EF" w14:textId="77777777" w:rsidR="00BB69DB" w:rsidRPr="00A8245B" w:rsidRDefault="00BB69DB" w:rsidP="0027034B">
            <w:pPr>
              <w:keepNext/>
              <w:keepLines/>
            </w:pPr>
            <w:r w:rsidRPr="00A8245B">
              <w:t>17.</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40A1A710" w14:textId="77777777" w:rsidR="00BB69DB" w:rsidRPr="00A8245B" w:rsidRDefault="00BB69DB" w:rsidP="0027034B">
            <w:pPr>
              <w:keepNext/>
              <w:keepLines/>
            </w:pPr>
            <w:r w:rsidRPr="00A8245B">
              <w:t>P-417/16</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1492F658" w14:textId="77777777" w:rsidR="00BB69DB" w:rsidRPr="00A8245B" w:rsidRDefault="00BB69DB" w:rsidP="0027034B">
            <w:pPr>
              <w:keepNext/>
              <w:keepLines/>
            </w:pPr>
            <w:r w:rsidRPr="00A8245B">
              <w:t>naknada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6501462A" w14:textId="77777777" w:rsidR="00BB69DB" w:rsidRPr="00A8245B" w:rsidRDefault="00BB69DB" w:rsidP="0027034B">
            <w:pPr>
              <w:keepNext/>
              <w:keepLines/>
              <w:jc w:val="right"/>
            </w:pPr>
            <w:r w:rsidRPr="00A8245B">
              <w:t xml:space="preserve">     34.846.844,30 € </w:t>
            </w:r>
          </w:p>
        </w:tc>
      </w:tr>
      <w:tr w:rsidR="00BB69DB" w:rsidRPr="00A8245B" w14:paraId="3074561C"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4284287E" w14:textId="77777777" w:rsidR="00BB69DB" w:rsidRPr="00A8245B" w:rsidRDefault="00BB69DB" w:rsidP="0027034B">
            <w:pPr>
              <w:keepNext/>
              <w:keepLines/>
            </w:pPr>
            <w:r w:rsidRPr="00A8245B">
              <w:t>18.</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63124F99" w14:textId="77777777" w:rsidR="00BB69DB" w:rsidRPr="00A8245B" w:rsidRDefault="00BB69DB" w:rsidP="0027034B">
            <w:pPr>
              <w:keepNext/>
              <w:keepLines/>
            </w:pPr>
            <w:r w:rsidRPr="00A8245B">
              <w:t>P-498/2020</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50849B04" w14:textId="77777777" w:rsidR="00BB69DB" w:rsidRPr="00A8245B" w:rsidRDefault="00BB69DB" w:rsidP="0027034B">
            <w:pPr>
              <w:keepNext/>
              <w:keepLines/>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0A3BBAA7" w14:textId="77777777" w:rsidR="00BB69DB" w:rsidRPr="00A8245B" w:rsidRDefault="00BB69DB" w:rsidP="0027034B">
            <w:pPr>
              <w:keepNext/>
              <w:keepLines/>
              <w:jc w:val="right"/>
            </w:pPr>
            <w:r w:rsidRPr="00A8245B">
              <w:t xml:space="preserve">        1.737.341,56 € </w:t>
            </w:r>
          </w:p>
        </w:tc>
      </w:tr>
      <w:tr w:rsidR="00BB69DB" w:rsidRPr="00A8245B" w14:paraId="40C53599"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7A1847E9" w14:textId="77777777" w:rsidR="00BB69DB" w:rsidRPr="00A8245B" w:rsidRDefault="00BB69DB" w:rsidP="0027034B">
            <w:pPr>
              <w:keepNext/>
              <w:keepLines/>
            </w:pPr>
            <w:r w:rsidRPr="00A8245B">
              <w:t>19.</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108BAA63" w14:textId="77777777" w:rsidR="00BB69DB" w:rsidRPr="00A8245B" w:rsidRDefault="00BB69DB" w:rsidP="0027034B">
            <w:pPr>
              <w:keepNext/>
              <w:keepLines/>
            </w:pPr>
            <w:r w:rsidRPr="00A8245B">
              <w:t>P-292/2015</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59144B70" w14:textId="77777777" w:rsidR="00BB69DB" w:rsidRPr="00A8245B" w:rsidRDefault="00BB69DB" w:rsidP="0027034B">
            <w:pPr>
              <w:keepNext/>
              <w:keepLines/>
            </w:pPr>
            <w:r w:rsidRPr="00A8245B">
              <w:t>naknada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7A9EFFB8" w14:textId="77777777" w:rsidR="00BB69DB" w:rsidRPr="00A8245B" w:rsidRDefault="00BB69DB" w:rsidP="0027034B">
            <w:pPr>
              <w:keepNext/>
              <w:keepLines/>
              <w:jc w:val="right"/>
            </w:pPr>
            <w:r w:rsidRPr="00A8245B">
              <w:t xml:space="preserve">           926.692,78 € </w:t>
            </w:r>
          </w:p>
        </w:tc>
      </w:tr>
      <w:tr w:rsidR="00BB69DB" w:rsidRPr="00A8245B" w14:paraId="4403140B"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68A5FCE1" w14:textId="77777777" w:rsidR="00BB69DB" w:rsidRPr="00A8245B" w:rsidRDefault="00BB69DB" w:rsidP="0027034B">
            <w:pPr>
              <w:keepNext/>
              <w:keepLines/>
            </w:pPr>
            <w:r w:rsidRPr="00A8245B">
              <w:t>20.</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42E33CD3" w14:textId="77777777" w:rsidR="00BB69DB" w:rsidRPr="00A8245B" w:rsidRDefault="00BB69DB" w:rsidP="0027034B">
            <w:pPr>
              <w:keepNext/>
              <w:keepLines/>
            </w:pPr>
            <w:r w:rsidRPr="00A8245B">
              <w:t>P-85/2020</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22A13283" w14:textId="77777777" w:rsidR="00BB69DB" w:rsidRPr="00A8245B" w:rsidRDefault="00BB69DB" w:rsidP="0027034B">
            <w:pPr>
              <w:keepNext/>
              <w:keepLines/>
            </w:pPr>
            <w:r w:rsidRPr="00A8245B">
              <w:t>utvrđenje pomorskog dobra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1D1B867C" w14:textId="77777777" w:rsidR="00BB69DB" w:rsidRPr="00A8245B" w:rsidRDefault="00BB69DB" w:rsidP="0027034B">
            <w:pPr>
              <w:keepNext/>
              <w:keepLines/>
              <w:jc w:val="right"/>
            </w:pPr>
            <w:r w:rsidRPr="00A8245B">
              <w:t xml:space="preserve">              66.361,54 € </w:t>
            </w:r>
          </w:p>
        </w:tc>
      </w:tr>
      <w:tr w:rsidR="00BB69DB" w:rsidRPr="00A8245B" w14:paraId="039B9033"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4524D166" w14:textId="77777777" w:rsidR="00BB69DB" w:rsidRPr="00A8245B" w:rsidRDefault="00BB69DB" w:rsidP="0027034B">
            <w:pPr>
              <w:keepNext/>
              <w:keepLines/>
            </w:pPr>
            <w:r w:rsidRPr="00A8245B">
              <w:t>21.</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30820302" w14:textId="77777777" w:rsidR="00BB69DB" w:rsidRPr="00A8245B" w:rsidRDefault="00BB69DB" w:rsidP="0027034B">
            <w:pPr>
              <w:keepNext/>
              <w:keepLines/>
            </w:pPr>
            <w:r w:rsidRPr="00A8245B">
              <w:t>P-DO-17/21-III-30; naša KLASA:342-22/20-01/38 (JOP 5845536)</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06BA2C1C" w14:textId="77777777" w:rsidR="00BB69DB" w:rsidRPr="00A8245B" w:rsidRDefault="00BB69DB" w:rsidP="0027034B">
            <w:pPr>
              <w:keepNext/>
              <w:keepLines/>
            </w:pPr>
            <w:r w:rsidRPr="00A8245B">
              <w:t>tužba na utvrđenje i trpljenje upisa pomorskog dobra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2F3AF37B" w14:textId="77777777" w:rsidR="00BB69DB" w:rsidRPr="00A8245B" w:rsidRDefault="00BB69DB" w:rsidP="0027034B">
            <w:pPr>
              <w:keepNext/>
              <w:keepLines/>
              <w:jc w:val="right"/>
            </w:pPr>
            <w:r w:rsidRPr="00A8245B">
              <w:t xml:space="preserve">                6.636,14 € </w:t>
            </w:r>
          </w:p>
        </w:tc>
      </w:tr>
      <w:tr w:rsidR="00BB69DB" w:rsidRPr="00A8245B" w14:paraId="13E50E84"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01F7B831" w14:textId="77777777" w:rsidR="00BB69DB" w:rsidRPr="00A8245B" w:rsidRDefault="00BB69DB" w:rsidP="0027034B">
            <w:pPr>
              <w:keepNext/>
              <w:keepLines/>
            </w:pPr>
            <w:r w:rsidRPr="00A8245B">
              <w:t>22.</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1761E41B" w14:textId="77777777" w:rsidR="00BB69DB" w:rsidRPr="00A8245B" w:rsidRDefault="00BB69DB" w:rsidP="0027034B">
            <w:pPr>
              <w:keepNext/>
              <w:keepLines/>
            </w:pPr>
            <w:r w:rsidRPr="00A8245B">
              <w:t>P-50/20</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21788B0C" w14:textId="77777777" w:rsidR="00BB69DB" w:rsidRPr="00A8245B" w:rsidRDefault="00BB69DB" w:rsidP="0027034B">
            <w:pPr>
              <w:keepNext/>
              <w:keepLines/>
            </w:pPr>
            <w:r w:rsidRPr="00A8245B">
              <w:t>utvrđenje prava na posjed nekretnina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287B0E6C" w14:textId="77777777" w:rsidR="00BB69DB" w:rsidRPr="00A8245B" w:rsidRDefault="00BB69DB" w:rsidP="0027034B">
            <w:pPr>
              <w:keepNext/>
              <w:keepLines/>
              <w:jc w:val="right"/>
            </w:pPr>
            <w:r w:rsidRPr="00A8245B">
              <w:t xml:space="preserve">                1.340,50 € </w:t>
            </w:r>
          </w:p>
        </w:tc>
      </w:tr>
      <w:tr w:rsidR="00BB69DB" w:rsidRPr="00A8245B" w14:paraId="7CF0CB23"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556AAA27" w14:textId="77777777" w:rsidR="00BB69DB" w:rsidRPr="00A8245B" w:rsidRDefault="00BB69DB" w:rsidP="0027034B">
            <w:pPr>
              <w:keepNext/>
              <w:keepLines/>
            </w:pPr>
            <w:r w:rsidRPr="00A8245B">
              <w:t>23.</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780E8FF4" w14:textId="77777777" w:rsidR="00BB69DB" w:rsidRPr="00A8245B" w:rsidRDefault="00BB69DB" w:rsidP="0027034B">
            <w:pPr>
              <w:keepNext/>
              <w:keepLines/>
            </w:pP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61B57228" w14:textId="77777777" w:rsidR="00BB69DB" w:rsidRPr="00A8245B" w:rsidRDefault="00BB69DB" w:rsidP="0027034B">
            <w:pPr>
              <w:keepNext/>
              <w:keepLines/>
            </w:pPr>
            <w:r w:rsidRPr="00A8245B">
              <w:t>zahtjev za mirnim rješenjem spora - naknada za izvlaštenje - pretvorba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08E965BD" w14:textId="77777777" w:rsidR="00BB69DB" w:rsidRPr="00A8245B" w:rsidRDefault="00BB69DB" w:rsidP="0027034B">
            <w:pPr>
              <w:keepNext/>
              <w:keepLines/>
              <w:jc w:val="right"/>
            </w:pPr>
            <w:r w:rsidRPr="00A8245B">
              <w:t xml:space="preserve">              16.355,90 € </w:t>
            </w:r>
          </w:p>
        </w:tc>
      </w:tr>
      <w:tr w:rsidR="00BB69DB" w:rsidRPr="00A8245B" w14:paraId="31714CA1"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3CAE08DB" w14:textId="77777777" w:rsidR="00BB69DB" w:rsidRPr="00A8245B" w:rsidRDefault="00BB69DB" w:rsidP="0027034B">
            <w:pPr>
              <w:keepNext/>
              <w:keepLines/>
            </w:pPr>
            <w:r w:rsidRPr="00A8245B">
              <w:t>24.</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7B969F3C" w14:textId="77777777" w:rsidR="00BB69DB" w:rsidRPr="00A8245B" w:rsidRDefault="00BB69DB" w:rsidP="0027034B">
            <w:pPr>
              <w:keepNext/>
              <w:keepLines/>
            </w:pPr>
            <w:r w:rsidRPr="00A8245B">
              <w:t>-</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5C67AD4B" w14:textId="77777777" w:rsidR="00BB69DB" w:rsidRPr="00A8245B" w:rsidRDefault="00BB69DB" w:rsidP="0027034B">
            <w:pPr>
              <w:keepNext/>
              <w:keepLines/>
            </w:pPr>
            <w:r w:rsidRPr="00A8245B">
              <w:t>šteta nastala havarijom na terminalu tekućih tereta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106FF0B0" w14:textId="77777777" w:rsidR="00BB69DB" w:rsidRPr="00A8245B" w:rsidRDefault="00BB69DB" w:rsidP="0027034B">
            <w:pPr>
              <w:keepNext/>
              <w:keepLines/>
              <w:jc w:val="right"/>
            </w:pPr>
            <w:r w:rsidRPr="00A8245B">
              <w:t xml:space="preserve">           814.781,10 € </w:t>
            </w:r>
          </w:p>
        </w:tc>
      </w:tr>
      <w:tr w:rsidR="00BB69DB" w:rsidRPr="00A8245B" w14:paraId="55E75BA1"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62959B45" w14:textId="77777777" w:rsidR="00BB69DB" w:rsidRPr="00A8245B" w:rsidRDefault="00BB69DB" w:rsidP="0027034B">
            <w:pPr>
              <w:keepNext/>
              <w:keepLines/>
            </w:pPr>
            <w:r w:rsidRPr="00A8245B">
              <w:t>25.</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20729DA7" w14:textId="77777777" w:rsidR="00BB69DB" w:rsidRPr="00A8245B" w:rsidRDefault="00BB69DB" w:rsidP="0027034B">
            <w:pPr>
              <w:keepNext/>
              <w:keepLines/>
            </w:pP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6816E59C" w14:textId="77777777" w:rsidR="00BB69DB" w:rsidRPr="00A8245B" w:rsidRDefault="00BB69DB" w:rsidP="0027034B">
            <w:pPr>
              <w:keepNext/>
              <w:keepLines/>
            </w:pPr>
            <w:r w:rsidRPr="00A8245B">
              <w:t>predaja u posjed</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5173789F" w14:textId="77777777" w:rsidR="00BB69DB" w:rsidRPr="00A8245B" w:rsidRDefault="00BB69DB" w:rsidP="0027034B">
            <w:pPr>
              <w:keepNext/>
              <w:keepLines/>
              <w:jc w:val="right"/>
            </w:pPr>
            <w:r w:rsidRPr="00A8245B">
              <w:t xml:space="preserve">           132.722,81 € </w:t>
            </w:r>
          </w:p>
        </w:tc>
      </w:tr>
      <w:tr w:rsidR="00BB69DB" w:rsidRPr="00A8245B" w14:paraId="49B15311"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27B31099" w14:textId="77777777" w:rsidR="00BB69DB" w:rsidRPr="00A8245B" w:rsidRDefault="00BB69DB" w:rsidP="0027034B">
            <w:pPr>
              <w:keepNext/>
              <w:keepLines/>
            </w:pPr>
            <w:r w:rsidRPr="00A8245B">
              <w:t>26.</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1B9080A5" w14:textId="77777777" w:rsidR="00BB69DB" w:rsidRPr="00A8245B" w:rsidRDefault="00BB69DB" w:rsidP="0027034B">
            <w:pPr>
              <w:keepNext/>
              <w:keepLines/>
            </w:pPr>
            <w:r w:rsidRPr="00A8245B">
              <w:t>P-119/20</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11A40339" w14:textId="77777777" w:rsidR="00BB69DB" w:rsidRPr="00A8245B" w:rsidRDefault="00BB69DB" w:rsidP="0027034B">
            <w:pPr>
              <w:keepNext/>
              <w:keepLines/>
            </w:pPr>
            <w:r w:rsidRPr="00A8245B">
              <w:t>isplata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5C1C6DE8" w14:textId="77777777" w:rsidR="00BB69DB" w:rsidRPr="00A8245B" w:rsidRDefault="00BB69DB" w:rsidP="0027034B">
            <w:pPr>
              <w:keepNext/>
              <w:keepLines/>
              <w:jc w:val="right"/>
            </w:pPr>
            <w:r w:rsidRPr="00A8245B">
              <w:t xml:space="preserve">   214.724.621,86 € </w:t>
            </w:r>
          </w:p>
        </w:tc>
      </w:tr>
      <w:tr w:rsidR="00BB69DB" w:rsidRPr="00A8245B" w14:paraId="0DFB1CAE"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32CCA1B2" w14:textId="77777777" w:rsidR="00BB69DB" w:rsidRPr="00A8245B" w:rsidRDefault="00BB69DB" w:rsidP="0027034B">
            <w:pPr>
              <w:keepNext/>
              <w:keepLines/>
            </w:pPr>
            <w:r w:rsidRPr="00A8245B">
              <w:t>27.</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6F64006E" w14:textId="77777777" w:rsidR="00BB69DB" w:rsidRPr="00A8245B" w:rsidRDefault="00BB69DB" w:rsidP="0027034B">
            <w:pPr>
              <w:keepNext/>
              <w:keepLines/>
            </w:pPr>
            <w:r w:rsidRPr="00A8245B">
              <w:t>363-06/22-06/1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6A7162D6" w14:textId="77777777" w:rsidR="00BB69DB" w:rsidRPr="00A8245B" w:rsidRDefault="00BB69DB" w:rsidP="0027034B">
            <w:pPr>
              <w:keepNext/>
              <w:keepLines/>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1AE994B8" w14:textId="77777777" w:rsidR="00BB69DB" w:rsidRPr="00A8245B" w:rsidRDefault="00BB69DB" w:rsidP="0027034B">
            <w:pPr>
              <w:keepNext/>
              <w:keepLines/>
              <w:jc w:val="right"/>
            </w:pPr>
            <w:r w:rsidRPr="00A8245B">
              <w:t xml:space="preserve">        4.210.631,10 € </w:t>
            </w:r>
          </w:p>
        </w:tc>
      </w:tr>
      <w:tr w:rsidR="00BB69DB" w:rsidRPr="00A8245B" w14:paraId="268276A7"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7587FDC6" w14:textId="77777777" w:rsidR="00BB69DB" w:rsidRPr="00A8245B" w:rsidRDefault="00BB69DB" w:rsidP="0027034B">
            <w:pPr>
              <w:keepNext/>
              <w:keepLines/>
            </w:pPr>
            <w:r w:rsidRPr="00A8245B">
              <w:t>28.</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7D1F8877" w14:textId="77777777" w:rsidR="00BB69DB" w:rsidRPr="00A8245B" w:rsidRDefault="00BB69DB" w:rsidP="0027034B">
            <w:pPr>
              <w:keepNext/>
              <w:keepLines/>
            </w:pPr>
            <w:r w:rsidRPr="00A8245B">
              <w:t>P-43/22</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3DC34108" w14:textId="77777777" w:rsidR="00BB69DB" w:rsidRPr="00A8245B" w:rsidRDefault="00BB69DB" w:rsidP="0027034B">
            <w:pPr>
              <w:keepNext/>
              <w:keepLines/>
            </w:pPr>
            <w:r w:rsidRPr="00A8245B">
              <w:t>tužba radi utvrđenja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06A296DE" w14:textId="77777777" w:rsidR="00BB69DB" w:rsidRPr="00A8245B" w:rsidRDefault="00BB69DB" w:rsidP="0027034B">
            <w:pPr>
              <w:keepNext/>
              <w:keepLines/>
              <w:jc w:val="right"/>
            </w:pPr>
            <w:r w:rsidRPr="00A8245B">
              <w:t xml:space="preserve">        4.479.394,78 € </w:t>
            </w:r>
          </w:p>
        </w:tc>
      </w:tr>
      <w:tr w:rsidR="00BB69DB" w:rsidRPr="00A8245B" w14:paraId="376EA520"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760E9A63" w14:textId="77777777" w:rsidR="00BB69DB" w:rsidRPr="00A8245B" w:rsidRDefault="00BB69DB" w:rsidP="0027034B">
            <w:pPr>
              <w:keepNext/>
              <w:keepLines/>
            </w:pPr>
            <w:r w:rsidRPr="00A8245B">
              <w:t>29.</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2945D13C" w14:textId="77777777" w:rsidR="00BB69DB" w:rsidRPr="00A8245B" w:rsidRDefault="00BB69DB" w:rsidP="0027034B">
            <w:pPr>
              <w:keepNext/>
              <w:keepLines/>
            </w:pPr>
            <w:r w:rsidRPr="00A8245B">
              <w:t>302-02/22-01/1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7678BBA4" w14:textId="77777777" w:rsidR="00BB69DB" w:rsidRPr="00A8245B" w:rsidRDefault="00BB69DB" w:rsidP="0027034B">
            <w:pPr>
              <w:keepNext/>
              <w:keepLines/>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10C38269" w14:textId="77777777" w:rsidR="00BB69DB" w:rsidRPr="00A8245B" w:rsidRDefault="00BB69DB" w:rsidP="0027034B">
            <w:pPr>
              <w:keepNext/>
              <w:keepLines/>
              <w:jc w:val="right"/>
            </w:pPr>
            <w:r w:rsidRPr="00A8245B">
              <w:t xml:space="preserve">           453.922,12 € </w:t>
            </w:r>
          </w:p>
        </w:tc>
      </w:tr>
      <w:tr w:rsidR="00BB69DB" w:rsidRPr="00A8245B" w14:paraId="247A12D2"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2AC19232" w14:textId="77777777" w:rsidR="00BB69DB" w:rsidRPr="00A8245B" w:rsidRDefault="00BB69DB" w:rsidP="0027034B">
            <w:pPr>
              <w:keepNext/>
              <w:keepLines/>
            </w:pPr>
            <w:r w:rsidRPr="00A8245B">
              <w:t>30.</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5F124C46" w14:textId="77777777" w:rsidR="00BB69DB" w:rsidRPr="00A8245B" w:rsidRDefault="00BB69DB" w:rsidP="0027034B">
            <w:pPr>
              <w:keepNext/>
              <w:keepLines/>
            </w:pPr>
            <w:r w:rsidRPr="00A8245B">
              <w:t>363-06/22-06/1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5C04F78A" w14:textId="77777777" w:rsidR="00BB69DB" w:rsidRPr="00A8245B" w:rsidRDefault="00BB69DB" w:rsidP="0027034B">
            <w:pPr>
              <w:keepNext/>
              <w:keepLines/>
            </w:pPr>
            <w:r w:rsidRPr="00A8245B">
              <w:t>radi utvrđenja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4599485E" w14:textId="77777777" w:rsidR="00BB69DB" w:rsidRPr="00A8245B" w:rsidRDefault="00BB69DB" w:rsidP="0027034B">
            <w:pPr>
              <w:keepNext/>
              <w:keepLines/>
              <w:jc w:val="right"/>
            </w:pPr>
            <w:r w:rsidRPr="00A8245B">
              <w:t xml:space="preserve">        8.184.129,40 € </w:t>
            </w:r>
          </w:p>
        </w:tc>
      </w:tr>
      <w:tr w:rsidR="00BB69DB" w:rsidRPr="00A8245B" w14:paraId="5367EDAF"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7A30BF81" w14:textId="77777777" w:rsidR="00BB69DB" w:rsidRPr="00A8245B" w:rsidRDefault="00BB69DB" w:rsidP="0027034B">
            <w:pPr>
              <w:keepNext/>
              <w:keepLines/>
            </w:pPr>
            <w:r w:rsidRPr="00A8245B">
              <w:t>31.</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3B2FA110" w14:textId="77777777" w:rsidR="00BB69DB" w:rsidRPr="00A8245B" w:rsidRDefault="00BB69DB" w:rsidP="0027034B">
            <w:pPr>
              <w:keepNext/>
              <w:keepLines/>
            </w:pPr>
            <w:r w:rsidRPr="00A8245B">
              <w:t>P-671/21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2D42BD8D" w14:textId="77777777" w:rsidR="00BB69DB" w:rsidRPr="00A8245B" w:rsidRDefault="00BB69DB" w:rsidP="0027034B">
            <w:pPr>
              <w:keepNext/>
              <w:keepLines/>
            </w:pPr>
            <w:r w:rsidRPr="00A8245B">
              <w:t>tužba radi utvrđenja/ protutužba 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746EA2C9" w14:textId="77777777" w:rsidR="00BB69DB" w:rsidRPr="00A8245B" w:rsidRDefault="00BB69DB" w:rsidP="0027034B">
            <w:pPr>
              <w:keepNext/>
              <w:keepLines/>
              <w:jc w:val="right"/>
            </w:pPr>
            <w:r w:rsidRPr="00A8245B">
              <w:t xml:space="preserve">              13.272,28 € </w:t>
            </w:r>
          </w:p>
        </w:tc>
      </w:tr>
      <w:tr w:rsidR="00BB69DB" w:rsidRPr="00A8245B" w14:paraId="467E228D"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5516255E" w14:textId="77777777" w:rsidR="00BB69DB" w:rsidRPr="00A8245B" w:rsidRDefault="00BB69DB" w:rsidP="0027034B">
            <w:pPr>
              <w:keepNext/>
              <w:keepLines/>
            </w:pPr>
            <w:r w:rsidRPr="00A8245B">
              <w:t>32.</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4DA47C56" w14:textId="77777777" w:rsidR="00BB69DB" w:rsidRPr="00A8245B" w:rsidRDefault="00BB69DB" w:rsidP="0027034B">
            <w:pPr>
              <w:keepNext/>
              <w:keepLines/>
            </w:pPr>
            <w:r w:rsidRPr="00A8245B">
              <w:t>P-DO/19 - broj pod kojim ŽDO vodi predmet (nema P broja u spisu)</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3A42CC61" w14:textId="77777777" w:rsidR="00BB69DB" w:rsidRPr="00A8245B" w:rsidRDefault="00BB69DB" w:rsidP="0027034B">
            <w:pPr>
              <w:keepNext/>
              <w:keepLines/>
            </w:pPr>
            <w:r w:rsidRPr="00A8245B">
              <w:t>radi utvrđenja i trpljenja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2FA7769D" w14:textId="77777777" w:rsidR="00BB69DB" w:rsidRPr="00A8245B" w:rsidRDefault="00BB69DB" w:rsidP="0027034B">
            <w:pPr>
              <w:keepNext/>
              <w:keepLines/>
              <w:jc w:val="right"/>
            </w:pPr>
            <w:r w:rsidRPr="00A8245B">
              <w:t xml:space="preserve">                7.963,37 € </w:t>
            </w:r>
          </w:p>
        </w:tc>
      </w:tr>
      <w:tr w:rsidR="00BB69DB" w:rsidRPr="00A8245B" w14:paraId="79F049A2"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700059EE" w14:textId="77777777" w:rsidR="00BB69DB" w:rsidRPr="00A8245B" w:rsidRDefault="00BB69DB" w:rsidP="0027034B">
            <w:pPr>
              <w:keepNext/>
              <w:keepLines/>
            </w:pPr>
            <w:r w:rsidRPr="00A8245B">
              <w:t>33.</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5886F014" w14:textId="77777777" w:rsidR="00BB69DB" w:rsidRPr="00A8245B" w:rsidRDefault="00BB69DB" w:rsidP="0027034B">
            <w:pPr>
              <w:keepNext/>
              <w:keepLines/>
            </w:pPr>
            <w:r w:rsidRPr="00A8245B">
              <w:t>P-508/2021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4BB50967" w14:textId="77777777" w:rsidR="00BB69DB" w:rsidRPr="00A8245B" w:rsidRDefault="00BB69DB" w:rsidP="0027034B">
            <w:pPr>
              <w:keepNext/>
              <w:keepLines/>
            </w:pPr>
            <w:r w:rsidRPr="00A8245B">
              <w:t>radi utvrđenja i trpljenja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7B36A1F6" w14:textId="77777777" w:rsidR="00BB69DB" w:rsidRPr="00A8245B" w:rsidRDefault="00BB69DB" w:rsidP="0027034B">
            <w:pPr>
              <w:keepNext/>
              <w:keepLines/>
              <w:jc w:val="right"/>
            </w:pPr>
            <w:r w:rsidRPr="00A8245B">
              <w:t xml:space="preserve">              13.272,41 € </w:t>
            </w:r>
          </w:p>
        </w:tc>
      </w:tr>
      <w:tr w:rsidR="00BB69DB" w:rsidRPr="00A8245B" w14:paraId="04451CE4"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1245C204" w14:textId="77777777" w:rsidR="00BB69DB" w:rsidRPr="00A8245B" w:rsidRDefault="00BB69DB" w:rsidP="0027034B">
            <w:pPr>
              <w:keepNext/>
              <w:keepLines/>
            </w:pPr>
            <w:r w:rsidRPr="00A8245B">
              <w:t>34.</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1930D82A" w14:textId="77777777" w:rsidR="00BB69DB" w:rsidRPr="00A8245B" w:rsidRDefault="00BB69DB" w:rsidP="0027034B">
            <w:pPr>
              <w:keepNext/>
              <w:keepLines/>
            </w:pPr>
            <w:r w:rsidRPr="00A8245B">
              <w:t>P-42/2022</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01E18C64" w14:textId="77777777" w:rsidR="00BB69DB" w:rsidRPr="00A8245B" w:rsidRDefault="00BB69DB" w:rsidP="0027034B">
            <w:pPr>
              <w:keepNext/>
              <w:keepLines/>
            </w:pPr>
            <w:r w:rsidRPr="00A8245B">
              <w:t>radi trpljenja i utvrđenja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44D39698" w14:textId="77777777" w:rsidR="00BB69DB" w:rsidRPr="00A8245B" w:rsidRDefault="00BB69DB" w:rsidP="0027034B">
            <w:pPr>
              <w:keepNext/>
              <w:keepLines/>
              <w:jc w:val="right"/>
            </w:pPr>
            <w:r w:rsidRPr="00A8245B">
              <w:t xml:space="preserve">                6.768,86 € </w:t>
            </w:r>
          </w:p>
        </w:tc>
      </w:tr>
      <w:tr w:rsidR="00BB69DB" w:rsidRPr="00A8245B" w14:paraId="3EA76BE3"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6A720EDF" w14:textId="77777777" w:rsidR="00BB69DB" w:rsidRPr="00A8245B" w:rsidRDefault="00BB69DB" w:rsidP="0027034B">
            <w:pPr>
              <w:keepNext/>
              <w:keepLines/>
            </w:pPr>
            <w:r w:rsidRPr="00A8245B">
              <w:t>35.</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34B17C1F" w14:textId="77777777" w:rsidR="00BB69DB" w:rsidRPr="00A8245B" w:rsidRDefault="00BB69DB" w:rsidP="0027034B">
            <w:pPr>
              <w:keepNext/>
              <w:keepLines/>
            </w:pPr>
            <w:r w:rsidRPr="00A8245B">
              <w:t>P-505/2021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17F37573" w14:textId="77777777" w:rsidR="00BB69DB" w:rsidRPr="00A8245B" w:rsidRDefault="00BB69DB" w:rsidP="0027034B">
            <w:pPr>
              <w:keepNext/>
              <w:keepLines/>
            </w:pPr>
            <w:r w:rsidRPr="00A8245B">
              <w:t>radi utvrđenja i trpljenja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71ED7B7D" w14:textId="77777777" w:rsidR="00BB69DB" w:rsidRPr="00A8245B" w:rsidRDefault="00BB69DB" w:rsidP="0027034B">
            <w:pPr>
              <w:keepNext/>
              <w:keepLines/>
              <w:jc w:val="right"/>
            </w:pPr>
            <w:r w:rsidRPr="00A8245B">
              <w:t xml:space="preserve">           132.722,94 € </w:t>
            </w:r>
          </w:p>
        </w:tc>
      </w:tr>
      <w:tr w:rsidR="00BB69DB" w:rsidRPr="00A8245B" w14:paraId="732565C2"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37E2B882" w14:textId="77777777" w:rsidR="00BB69DB" w:rsidRPr="00A8245B" w:rsidRDefault="00BB69DB" w:rsidP="0027034B">
            <w:pPr>
              <w:keepNext/>
              <w:keepLines/>
            </w:pPr>
            <w:r w:rsidRPr="00A8245B">
              <w:lastRenderedPageBreak/>
              <w:t>36.</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0FCD334A" w14:textId="77777777" w:rsidR="00BB69DB" w:rsidRPr="00A8245B" w:rsidRDefault="00BB69DB" w:rsidP="0027034B">
            <w:pPr>
              <w:keepNext/>
              <w:keepLines/>
            </w:pPr>
            <w:r w:rsidRPr="00A8245B">
              <w:t>Pst-107/15</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4E354C1D" w14:textId="77777777" w:rsidR="00BB69DB" w:rsidRPr="00A8245B" w:rsidRDefault="00BB69DB" w:rsidP="0027034B">
            <w:pPr>
              <w:keepNext/>
              <w:keepLines/>
            </w:pPr>
            <w:r w:rsidRPr="00A8245B">
              <w:t>radi utvrđenja, alt.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6DB5D125" w14:textId="77777777" w:rsidR="00BB69DB" w:rsidRPr="00A8245B" w:rsidRDefault="00BB69DB" w:rsidP="0027034B">
            <w:pPr>
              <w:keepNext/>
              <w:keepLines/>
              <w:jc w:val="right"/>
            </w:pPr>
            <w:r w:rsidRPr="00A8245B">
              <w:t xml:space="preserve">           132.722,81 € </w:t>
            </w:r>
          </w:p>
        </w:tc>
      </w:tr>
      <w:tr w:rsidR="00BB69DB" w:rsidRPr="00A8245B" w14:paraId="145586CD"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7CBDC446" w14:textId="77777777" w:rsidR="00BB69DB" w:rsidRPr="00A8245B" w:rsidRDefault="00BB69DB" w:rsidP="0027034B">
            <w:pPr>
              <w:keepNext/>
              <w:keepLines/>
            </w:pPr>
            <w:r w:rsidRPr="00A8245B">
              <w:t>37.</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171FBAED" w14:textId="77777777" w:rsidR="00BB69DB" w:rsidRPr="00A8245B" w:rsidRDefault="00BB69DB" w:rsidP="0027034B">
            <w:pPr>
              <w:keepNext/>
              <w:keepLines/>
            </w:pPr>
            <w:r w:rsidRPr="00A8245B">
              <w:t>P-431/2020</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3752D590" w14:textId="77777777" w:rsidR="00BB69DB" w:rsidRPr="00A8245B" w:rsidRDefault="00BB69DB" w:rsidP="0027034B">
            <w:pPr>
              <w:keepNext/>
              <w:keepLines/>
            </w:pPr>
            <w:r w:rsidRPr="00A8245B">
              <w:t>stjecanje bez osnove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7FD7C961" w14:textId="77777777" w:rsidR="00BB69DB" w:rsidRPr="00A8245B" w:rsidRDefault="00BB69DB" w:rsidP="0027034B">
            <w:pPr>
              <w:keepNext/>
              <w:keepLines/>
              <w:jc w:val="right"/>
            </w:pPr>
            <w:r w:rsidRPr="00A8245B">
              <w:t xml:space="preserve">           104.950,10 € </w:t>
            </w:r>
          </w:p>
        </w:tc>
      </w:tr>
      <w:tr w:rsidR="00BB69DB" w:rsidRPr="00A8245B" w14:paraId="34DC1589"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302123FD" w14:textId="77777777" w:rsidR="00BB69DB" w:rsidRPr="00A8245B" w:rsidRDefault="00BB69DB" w:rsidP="0027034B">
            <w:pPr>
              <w:keepNext/>
              <w:keepLines/>
            </w:pPr>
            <w:r w:rsidRPr="00A8245B">
              <w:t>38.</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026E7FA0" w14:textId="77777777" w:rsidR="00BB69DB" w:rsidRPr="00A8245B" w:rsidRDefault="00BB69DB" w:rsidP="0027034B">
            <w:pPr>
              <w:keepNext/>
              <w:keepLines/>
            </w:pPr>
            <w:r w:rsidRPr="00A8245B">
              <w:t>UP/I-944-07/15-01/00002</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6422C104" w14:textId="77777777" w:rsidR="00BB69DB" w:rsidRPr="00A8245B" w:rsidRDefault="00BB69DB" w:rsidP="0027034B">
            <w:pPr>
              <w:keepNext/>
              <w:keepLines/>
            </w:pPr>
            <w:r w:rsidRPr="00A8245B">
              <w:t>izvlaštenje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24539085" w14:textId="77777777" w:rsidR="00BB69DB" w:rsidRPr="00A8245B" w:rsidRDefault="00BB69DB" w:rsidP="0027034B">
            <w:pPr>
              <w:keepNext/>
              <w:keepLines/>
              <w:jc w:val="right"/>
            </w:pPr>
            <w:r w:rsidRPr="00A8245B">
              <w:t xml:space="preserve">              90.199,87 € </w:t>
            </w:r>
          </w:p>
        </w:tc>
      </w:tr>
      <w:tr w:rsidR="00BB69DB" w:rsidRPr="00A8245B" w14:paraId="789D6017"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7A32ECBA" w14:textId="77777777" w:rsidR="00BB69DB" w:rsidRPr="00A8245B" w:rsidRDefault="00BB69DB" w:rsidP="0027034B">
            <w:pPr>
              <w:keepNext/>
              <w:keepLines/>
            </w:pPr>
            <w:r w:rsidRPr="00A8245B">
              <w:t>39.</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0EB0921C" w14:textId="77777777" w:rsidR="00BB69DB" w:rsidRPr="00A8245B" w:rsidRDefault="00BB69DB" w:rsidP="0027034B">
            <w:pPr>
              <w:keepNext/>
              <w:keepLines/>
            </w:pPr>
            <w:r w:rsidRPr="00A8245B">
              <w:t>Ovr-2739/2014</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26E1FD70" w14:textId="77777777" w:rsidR="00BB69DB" w:rsidRPr="00A8245B" w:rsidRDefault="00BB69DB" w:rsidP="0027034B">
            <w:pPr>
              <w:keepNext/>
              <w:keepLines/>
            </w:pPr>
            <w:r w:rsidRPr="00A8245B">
              <w:t>radi predaje u posjed</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46C46D2E" w14:textId="77777777" w:rsidR="00BB69DB" w:rsidRPr="00A8245B" w:rsidRDefault="00BB69DB" w:rsidP="0027034B">
            <w:pPr>
              <w:keepNext/>
              <w:keepLines/>
              <w:jc w:val="right"/>
            </w:pPr>
            <w:r w:rsidRPr="00A8245B">
              <w:t xml:space="preserve">                    398,17 € </w:t>
            </w:r>
          </w:p>
        </w:tc>
      </w:tr>
      <w:tr w:rsidR="00BB69DB" w:rsidRPr="00A8245B" w14:paraId="1FB159E0"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487C3F27" w14:textId="77777777" w:rsidR="00BB69DB" w:rsidRPr="00A8245B" w:rsidRDefault="00BB69DB" w:rsidP="0027034B">
            <w:pPr>
              <w:keepNext/>
              <w:keepLines/>
            </w:pPr>
            <w:r w:rsidRPr="00A8245B">
              <w:t>40.</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618F8B1D" w14:textId="77777777" w:rsidR="00BB69DB" w:rsidRPr="00A8245B" w:rsidRDefault="00BB69DB" w:rsidP="0027034B">
            <w:pPr>
              <w:keepNext/>
              <w:keepLines/>
            </w:pPr>
            <w:r w:rsidRPr="00A8245B">
              <w:t>P-420/22, P-411/2022</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5AD8D078" w14:textId="77777777" w:rsidR="00BB69DB" w:rsidRPr="00A8245B" w:rsidRDefault="00BB69DB" w:rsidP="0027034B">
            <w:pPr>
              <w:keepNext/>
              <w:keepLines/>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4AC26BE0" w14:textId="77777777" w:rsidR="00BB69DB" w:rsidRPr="00A8245B" w:rsidRDefault="00BB69DB" w:rsidP="0027034B">
            <w:pPr>
              <w:keepNext/>
              <w:keepLines/>
              <w:jc w:val="right"/>
            </w:pPr>
            <w:r w:rsidRPr="00A8245B">
              <w:t xml:space="preserve">        4.769.057,43 € </w:t>
            </w:r>
          </w:p>
        </w:tc>
      </w:tr>
      <w:tr w:rsidR="00BB69DB" w:rsidRPr="00A8245B" w14:paraId="47698126"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71D1B69F" w14:textId="77777777" w:rsidR="00BB69DB" w:rsidRPr="00A8245B" w:rsidRDefault="00BB69DB" w:rsidP="0027034B">
            <w:pPr>
              <w:keepNext/>
              <w:keepLines/>
            </w:pPr>
            <w:r w:rsidRPr="00A8245B">
              <w:t>41.</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1557E035" w14:textId="77777777" w:rsidR="00BB69DB" w:rsidRPr="00A8245B" w:rsidRDefault="00BB69DB" w:rsidP="0027034B">
            <w:pPr>
              <w:keepNext/>
              <w:keepLines/>
            </w:pPr>
            <w:r w:rsidRPr="00A8245B">
              <w:t>342-01/05-01/612</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67412133" w14:textId="77777777" w:rsidR="00BB69DB" w:rsidRPr="00A8245B" w:rsidRDefault="00BB69DB" w:rsidP="0027034B">
            <w:pPr>
              <w:keepNext/>
              <w:keepLines/>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48A39A76" w14:textId="77777777" w:rsidR="00BB69DB" w:rsidRPr="00A8245B" w:rsidRDefault="00BB69DB" w:rsidP="0027034B">
            <w:pPr>
              <w:keepNext/>
              <w:keepLines/>
              <w:jc w:val="right"/>
            </w:pPr>
            <w:r w:rsidRPr="00A8245B">
              <w:t xml:space="preserve">           199.084,21 € </w:t>
            </w:r>
          </w:p>
        </w:tc>
      </w:tr>
      <w:tr w:rsidR="00BB69DB" w:rsidRPr="00A8245B" w14:paraId="1E7FF487"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358C784E" w14:textId="77777777" w:rsidR="00BB69DB" w:rsidRPr="00A8245B" w:rsidRDefault="00BB69DB" w:rsidP="0027034B">
            <w:pPr>
              <w:keepNext/>
              <w:keepLines/>
            </w:pPr>
            <w:r w:rsidRPr="00A8245B">
              <w:t>42.</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68F01895" w14:textId="77777777" w:rsidR="00BB69DB" w:rsidRPr="00A8245B" w:rsidRDefault="00BB69DB" w:rsidP="0027034B">
            <w:pPr>
              <w:keepNext/>
              <w:keepLines/>
            </w:pPr>
            <w:r w:rsidRPr="00A8245B">
              <w:t>P-210/2022</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5DEBFA92" w14:textId="77777777" w:rsidR="00BB69DB" w:rsidRPr="00A8245B" w:rsidRDefault="00BB69DB" w:rsidP="0027034B">
            <w:pPr>
              <w:keepNext/>
              <w:keepLines/>
            </w:pPr>
            <w:r w:rsidRPr="00A8245B">
              <w:t xml:space="preserve">radi utvrđenja </w:t>
            </w:r>
            <w:proofErr w:type="spellStart"/>
            <w:r w:rsidRPr="00A8245B">
              <w:t>ništetnosti</w:t>
            </w:r>
            <w:proofErr w:type="spellEnd"/>
            <w:r w:rsidRPr="00A8245B">
              <w:t xml:space="preserve"> (</w:t>
            </w:r>
            <w:proofErr w:type="spellStart"/>
            <w:r w:rsidRPr="00A8245B">
              <w:t>predstečajne</w:t>
            </w:r>
            <w:proofErr w:type="spellEnd"/>
            <w:r w:rsidRPr="00A8245B">
              <w:t xml:space="preserve"> nagodbe)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40F8A934" w14:textId="77777777" w:rsidR="00BB69DB" w:rsidRPr="00A8245B" w:rsidRDefault="00BB69DB" w:rsidP="0027034B">
            <w:pPr>
              <w:keepNext/>
              <w:keepLines/>
              <w:jc w:val="right"/>
            </w:pPr>
            <w:r w:rsidRPr="00A8245B">
              <w:t xml:space="preserve">                1.327,36 € </w:t>
            </w:r>
          </w:p>
        </w:tc>
      </w:tr>
      <w:tr w:rsidR="00BB69DB" w:rsidRPr="00A8245B" w14:paraId="3018549B"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2DD4A135" w14:textId="77777777" w:rsidR="00BB69DB" w:rsidRPr="00A8245B" w:rsidRDefault="00BB69DB" w:rsidP="0027034B">
            <w:pPr>
              <w:keepNext/>
              <w:keepLines/>
            </w:pPr>
            <w:r w:rsidRPr="00A8245B">
              <w:t>43.</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513930A4" w14:textId="77777777" w:rsidR="00BB69DB" w:rsidRPr="00A8245B" w:rsidRDefault="00BB69DB" w:rsidP="0027034B">
            <w:pPr>
              <w:keepNext/>
              <w:keepLines/>
            </w:pPr>
            <w:r w:rsidRPr="00A8245B">
              <w:t>N-DO-28/2022</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1A0BDADF" w14:textId="77777777" w:rsidR="00BB69DB" w:rsidRPr="00A8245B" w:rsidRDefault="00BB69DB" w:rsidP="0027034B">
            <w:pPr>
              <w:keepNext/>
              <w:keepLines/>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53D867F0" w14:textId="77777777" w:rsidR="00BB69DB" w:rsidRPr="00A8245B" w:rsidRDefault="00BB69DB" w:rsidP="0027034B">
            <w:pPr>
              <w:keepNext/>
              <w:keepLines/>
              <w:jc w:val="right"/>
            </w:pPr>
            <w:r w:rsidRPr="00A8245B">
              <w:t xml:space="preserve">           444.017,00 € </w:t>
            </w:r>
          </w:p>
        </w:tc>
      </w:tr>
      <w:tr w:rsidR="00BB69DB" w:rsidRPr="00A8245B" w14:paraId="06A864CD"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30727FCC" w14:textId="77777777" w:rsidR="00BB69DB" w:rsidRPr="00A8245B" w:rsidRDefault="00BB69DB" w:rsidP="0027034B">
            <w:pPr>
              <w:keepNext/>
              <w:keepLines/>
            </w:pPr>
            <w:r w:rsidRPr="00A8245B">
              <w:t>44.</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339D8582" w14:textId="77777777" w:rsidR="00BB69DB" w:rsidRPr="00A8245B" w:rsidRDefault="00BB69DB" w:rsidP="0027034B">
            <w:pPr>
              <w:keepNext/>
              <w:keepLines/>
            </w:pPr>
            <w:r w:rsidRPr="00A8245B">
              <w:t>6 P402/2022</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3D17A23F" w14:textId="77777777" w:rsidR="00BB69DB" w:rsidRPr="00A8245B" w:rsidRDefault="00BB69DB" w:rsidP="0027034B">
            <w:pPr>
              <w:keepNext/>
              <w:keepLines/>
            </w:pPr>
            <w:r w:rsidRPr="00A8245B">
              <w:t>radi isplate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4EB81271" w14:textId="77777777" w:rsidR="00BB69DB" w:rsidRPr="00A8245B" w:rsidRDefault="00BB69DB" w:rsidP="0027034B">
            <w:pPr>
              <w:keepNext/>
              <w:keepLines/>
              <w:jc w:val="right"/>
            </w:pPr>
            <w:r w:rsidRPr="00A8245B">
              <w:t xml:space="preserve">                5.499,06 € </w:t>
            </w:r>
          </w:p>
        </w:tc>
      </w:tr>
      <w:tr w:rsidR="00BB69DB" w:rsidRPr="00A8245B" w14:paraId="768098B8"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052FC798" w14:textId="77777777" w:rsidR="00BB69DB" w:rsidRPr="00A8245B" w:rsidRDefault="00BB69DB" w:rsidP="0027034B">
            <w:pPr>
              <w:keepNext/>
              <w:keepLines/>
            </w:pPr>
            <w:r w:rsidRPr="00A8245B">
              <w:t>45.</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1508D1C3" w14:textId="77777777" w:rsidR="00BB69DB" w:rsidRPr="00A8245B" w:rsidRDefault="00BB69DB" w:rsidP="0027034B">
            <w:pPr>
              <w:keepNext/>
              <w:keepLines/>
            </w:pPr>
            <w:r w:rsidRPr="00A8245B">
              <w:t>N-DO-132/2023</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0E63DA85" w14:textId="77777777" w:rsidR="00BB69DB" w:rsidRPr="00A8245B" w:rsidRDefault="00BB69DB" w:rsidP="0027034B">
            <w:pPr>
              <w:keepNext/>
              <w:keepLines/>
            </w:pPr>
            <w:r w:rsidRPr="00A8245B">
              <w:t>radi naknade za eksportiranu nekretninu</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27C2C808" w14:textId="77777777" w:rsidR="00BB69DB" w:rsidRPr="00A8245B" w:rsidRDefault="00BB69DB" w:rsidP="0027034B">
            <w:pPr>
              <w:keepNext/>
              <w:keepLines/>
              <w:jc w:val="right"/>
            </w:pPr>
            <w:r w:rsidRPr="00A8245B">
              <w:t xml:space="preserve">              45.150,00 € </w:t>
            </w:r>
          </w:p>
        </w:tc>
      </w:tr>
      <w:tr w:rsidR="00BB69DB" w:rsidRPr="00A8245B" w14:paraId="2AABCED2"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3E6FC56D" w14:textId="77777777" w:rsidR="00BB69DB" w:rsidRPr="00A8245B" w:rsidRDefault="00BB69DB" w:rsidP="0027034B">
            <w:pPr>
              <w:keepNext/>
              <w:keepLines/>
            </w:pPr>
            <w:r w:rsidRPr="00A8245B">
              <w:t>46.</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60F5C6BB" w14:textId="77777777" w:rsidR="00BB69DB" w:rsidRPr="00A8245B" w:rsidRDefault="00BB69DB" w:rsidP="0027034B">
            <w:pPr>
              <w:keepNext/>
              <w:keepLines/>
            </w:pPr>
            <w:r w:rsidRPr="00A8245B">
              <w:t>N-DO-14/2023</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4FD5CF7F" w14:textId="77777777" w:rsidR="00BB69DB" w:rsidRPr="00A8245B" w:rsidRDefault="00BB69DB" w:rsidP="0027034B">
            <w:pPr>
              <w:keepNext/>
              <w:keepLines/>
            </w:pPr>
            <w:r w:rsidRPr="00A8245B">
              <w:t>zahtjev za mirno rješenje spora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588613A0" w14:textId="77777777" w:rsidR="00BB69DB" w:rsidRPr="00A8245B" w:rsidRDefault="00BB69DB" w:rsidP="0027034B">
            <w:pPr>
              <w:keepNext/>
              <w:keepLines/>
              <w:jc w:val="right"/>
            </w:pPr>
            <w:r w:rsidRPr="00A8245B">
              <w:t xml:space="preserve">              13.257,32 € </w:t>
            </w:r>
          </w:p>
        </w:tc>
      </w:tr>
      <w:tr w:rsidR="00BB69DB" w:rsidRPr="00A8245B" w14:paraId="3862B1E1"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1C2A2522" w14:textId="77777777" w:rsidR="00BB69DB" w:rsidRPr="00A8245B" w:rsidRDefault="00BB69DB" w:rsidP="0027034B">
            <w:pPr>
              <w:keepNext/>
              <w:keepLines/>
            </w:pPr>
            <w:r w:rsidRPr="00A8245B">
              <w:t>47.</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17DF50D6" w14:textId="77777777" w:rsidR="00BB69DB" w:rsidRPr="00A8245B" w:rsidRDefault="00BB69DB" w:rsidP="0027034B">
            <w:pPr>
              <w:keepNext/>
              <w:keepLines/>
            </w:pPr>
            <w:r w:rsidRPr="00A8245B">
              <w:t>P-821/2021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6D2CE028" w14:textId="77777777" w:rsidR="00BB69DB" w:rsidRPr="00A8245B" w:rsidRDefault="00BB69DB" w:rsidP="0027034B">
            <w:pPr>
              <w:keepNext/>
              <w:keepLines/>
            </w:pPr>
            <w:r w:rsidRPr="00A8245B">
              <w:t>naknada za čest</w:t>
            </w:r>
            <w:r>
              <w:t xml:space="preserve">icu </w:t>
            </w:r>
            <w:r w:rsidRPr="00A8245B">
              <w:t>zemlj</w:t>
            </w:r>
            <w:r>
              <w:t>išta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6DA04422" w14:textId="77777777" w:rsidR="00BB69DB" w:rsidRPr="00A8245B" w:rsidRDefault="00BB69DB" w:rsidP="0027034B">
            <w:pPr>
              <w:keepNext/>
              <w:keepLines/>
              <w:jc w:val="right"/>
            </w:pPr>
            <w:r w:rsidRPr="00A8245B">
              <w:t xml:space="preserve">              30.884,60 € </w:t>
            </w:r>
          </w:p>
        </w:tc>
      </w:tr>
      <w:tr w:rsidR="00BB69DB" w:rsidRPr="00A8245B" w14:paraId="0DFB6925"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3D4EE360" w14:textId="77777777" w:rsidR="00BB69DB" w:rsidRPr="00A8245B" w:rsidRDefault="00BB69DB" w:rsidP="0027034B">
            <w:pPr>
              <w:keepNext/>
              <w:keepLines/>
            </w:pPr>
            <w:r w:rsidRPr="00A8245B">
              <w:t>48.</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16759D2A" w14:textId="77777777" w:rsidR="00BB69DB" w:rsidRPr="00A8245B" w:rsidRDefault="00BB69DB" w:rsidP="0027034B">
            <w:pPr>
              <w:keepNext/>
              <w:keepLines/>
            </w:pPr>
            <w:r w:rsidRPr="00A8245B">
              <w:t>P-DO-8/2024</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391B0C15" w14:textId="77777777" w:rsidR="00BB69DB" w:rsidRPr="00A8245B" w:rsidRDefault="00BB69DB" w:rsidP="0027034B">
            <w:pPr>
              <w:keepNext/>
              <w:keepLines/>
            </w:pPr>
            <w:r w:rsidRPr="00A8245B">
              <w:t>ispravak zemljišnoknjižnog upisa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5DAB4177" w14:textId="77777777" w:rsidR="00BB69DB" w:rsidRPr="00A8245B" w:rsidRDefault="00BB69DB" w:rsidP="0027034B">
            <w:pPr>
              <w:keepNext/>
              <w:keepLines/>
              <w:jc w:val="right"/>
            </w:pPr>
            <w:r w:rsidRPr="00A8245B">
              <w:t xml:space="preserve">              10.000,00 € </w:t>
            </w:r>
          </w:p>
        </w:tc>
      </w:tr>
      <w:tr w:rsidR="00BB69DB" w:rsidRPr="00A8245B" w14:paraId="5DD13DA1"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00FD6E09" w14:textId="77777777" w:rsidR="00BB69DB" w:rsidRPr="00A8245B" w:rsidRDefault="00BB69DB" w:rsidP="0027034B">
            <w:pPr>
              <w:keepNext/>
              <w:keepLines/>
            </w:pPr>
            <w:r w:rsidRPr="00A8245B">
              <w:t>49.</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15730E96" w14:textId="77777777" w:rsidR="00BB69DB" w:rsidRPr="00A8245B" w:rsidRDefault="00BB69DB" w:rsidP="0027034B">
            <w:pPr>
              <w:keepNext/>
              <w:keepLines/>
            </w:pPr>
            <w:r w:rsidRPr="00A8245B">
              <w:t>P-DO-5/2024</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7A03569F" w14:textId="77777777" w:rsidR="00BB69DB" w:rsidRPr="00A8245B" w:rsidRDefault="00BB69DB" w:rsidP="0027034B">
            <w:pPr>
              <w:keepNext/>
              <w:keepLines/>
            </w:pPr>
            <w:r w:rsidRPr="00A8245B">
              <w:t>brisanje provedenog upisa pomorskog dobra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6D1F1E10" w14:textId="77777777" w:rsidR="00BB69DB" w:rsidRPr="00A8245B" w:rsidRDefault="00BB69DB" w:rsidP="0027034B">
            <w:pPr>
              <w:keepNext/>
              <w:keepLines/>
              <w:jc w:val="right"/>
            </w:pPr>
            <w:r w:rsidRPr="00A8245B">
              <w:t xml:space="preserve">              10.000,00 € </w:t>
            </w:r>
          </w:p>
        </w:tc>
      </w:tr>
      <w:tr w:rsidR="00BB69DB" w:rsidRPr="00A8245B" w14:paraId="5498EE0A"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3F362008" w14:textId="77777777" w:rsidR="00BB69DB" w:rsidRPr="00A8245B" w:rsidRDefault="00BB69DB" w:rsidP="0027034B">
            <w:pPr>
              <w:keepNext/>
              <w:keepLines/>
            </w:pPr>
            <w:r w:rsidRPr="00A8245B">
              <w:t>50.</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1A77A4E1" w14:textId="77777777" w:rsidR="00BB69DB" w:rsidRPr="00A8245B" w:rsidRDefault="00BB69DB" w:rsidP="0027034B">
            <w:pPr>
              <w:keepNext/>
              <w:keepLines/>
            </w:pPr>
            <w:r w:rsidRPr="00A8245B">
              <w:t>P-DP-14/2023</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7AFD1AA2" w14:textId="77777777" w:rsidR="00BB69DB" w:rsidRPr="00A8245B" w:rsidRDefault="00BB69DB" w:rsidP="0027034B">
            <w:pPr>
              <w:keepNext/>
              <w:keepLines/>
            </w:pPr>
            <w:proofErr w:type="spellStart"/>
            <w:r w:rsidRPr="00A8245B">
              <w:t>brisovna</w:t>
            </w:r>
            <w:proofErr w:type="spellEnd"/>
            <w:r w:rsidRPr="00A8245B">
              <w:t xml:space="preserve"> tužba, nevaljali upis pomorskog dobra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5AF3C351" w14:textId="77777777" w:rsidR="00BB69DB" w:rsidRPr="00A8245B" w:rsidRDefault="00BB69DB" w:rsidP="0027034B">
            <w:pPr>
              <w:keepNext/>
              <w:keepLines/>
              <w:jc w:val="right"/>
            </w:pPr>
            <w:r w:rsidRPr="00A8245B">
              <w:t xml:space="preserve">              30.000,00 € </w:t>
            </w:r>
          </w:p>
        </w:tc>
      </w:tr>
      <w:tr w:rsidR="00BB69DB" w:rsidRPr="00A8245B" w14:paraId="3E5C4FD9"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09F0D9E4" w14:textId="77777777" w:rsidR="00BB69DB" w:rsidRPr="00A8245B" w:rsidRDefault="00BB69DB" w:rsidP="0027034B">
            <w:pPr>
              <w:keepNext/>
              <w:keepLines/>
            </w:pPr>
            <w:r w:rsidRPr="00A8245B">
              <w:t>51.</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77E3B4A6" w14:textId="77777777" w:rsidR="00BB69DB" w:rsidRPr="00A8245B" w:rsidRDefault="00BB69DB" w:rsidP="0027034B">
            <w:pPr>
              <w:keepNext/>
              <w:keepLines/>
            </w:pPr>
            <w:r w:rsidRPr="00A8245B">
              <w:t>P-DO-46/2021 Presuda poslovni br. 13P-543/2021-5 TS ST, Presuda poslovni br. 67Pž-1163/ 2022- 3</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759646AD" w14:textId="77777777" w:rsidR="00BB69DB" w:rsidRPr="00A8245B" w:rsidRDefault="00BB69DB" w:rsidP="0027034B">
            <w:pPr>
              <w:keepNext/>
              <w:keepLines/>
            </w:pPr>
            <w:r w:rsidRPr="00A8245B">
              <w:t>brisanje knjižnog prava bez vođenja kontradiktornog utvrđenja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21225D26" w14:textId="77777777" w:rsidR="00BB69DB" w:rsidRPr="00A8245B" w:rsidRDefault="00BB69DB" w:rsidP="0027034B">
            <w:pPr>
              <w:keepNext/>
              <w:keepLines/>
              <w:jc w:val="right"/>
            </w:pPr>
            <w:r w:rsidRPr="00A8245B">
              <w:t xml:space="preserve">              34.774,59 € </w:t>
            </w:r>
          </w:p>
        </w:tc>
      </w:tr>
      <w:tr w:rsidR="00BB69DB" w:rsidRPr="00A8245B" w14:paraId="28DB2DA4"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767017E3" w14:textId="77777777" w:rsidR="00BB69DB" w:rsidRPr="00A8245B" w:rsidRDefault="00BB69DB" w:rsidP="0027034B">
            <w:pPr>
              <w:keepNext/>
              <w:keepLines/>
            </w:pPr>
            <w:r w:rsidRPr="00A8245B">
              <w:t>52.</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45515A6C" w14:textId="77777777" w:rsidR="00BB69DB" w:rsidRPr="00A8245B" w:rsidRDefault="00BB69DB" w:rsidP="0027034B">
            <w:pPr>
              <w:keepNext/>
              <w:keepLines/>
            </w:pP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5D06BDEB" w14:textId="77777777" w:rsidR="00BB69DB" w:rsidRPr="00A8245B" w:rsidRDefault="00BB69DB" w:rsidP="0027034B">
            <w:pPr>
              <w:keepNext/>
              <w:keepLines/>
            </w:pPr>
            <w:r w:rsidRPr="00A8245B">
              <w:t>zahtjev za mirno rješenje spora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66B0D4A8" w14:textId="77777777" w:rsidR="00BB69DB" w:rsidRPr="00A8245B" w:rsidRDefault="00BB69DB" w:rsidP="0027034B">
            <w:pPr>
              <w:keepNext/>
              <w:keepLines/>
              <w:jc w:val="right"/>
            </w:pPr>
            <w:r w:rsidRPr="00A8245B">
              <w:t xml:space="preserve">                3.000,00 € </w:t>
            </w:r>
          </w:p>
        </w:tc>
      </w:tr>
      <w:tr w:rsidR="00BB69DB" w:rsidRPr="00A8245B" w14:paraId="365557CE"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7B72A2AC" w14:textId="77777777" w:rsidR="00BB69DB" w:rsidRPr="00A8245B" w:rsidRDefault="00BB69DB" w:rsidP="0027034B">
            <w:pPr>
              <w:keepNext/>
              <w:keepLines/>
            </w:pPr>
            <w:r w:rsidRPr="00A8245B">
              <w:t>53.</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77D7A63A" w14:textId="77777777" w:rsidR="00BB69DB" w:rsidRPr="00A8245B" w:rsidRDefault="00BB69DB" w:rsidP="0027034B">
            <w:pPr>
              <w:keepNext/>
              <w:keepLines/>
            </w:pPr>
            <w:r w:rsidRPr="00A8245B">
              <w:t>P-DO-51/2017</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2711081E" w14:textId="77777777" w:rsidR="00BB69DB" w:rsidRPr="00A8245B" w:rsidRDefault="00BB69DB" w:rsidP="0027034B">
            <w:pPr>
              <w:keepNext/>
              <w:keepLines/>
            </w:pPr>
            <w:r w:rsidRPr="00A8245B">
              <w:t>zahtjev za mirno rješenje spora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537122EA" w14:textId="77777777" w:rsidR="00BB69DB" w:rsidRPr="00A8245B" w:rsidRDefault="00BB69DB" w:rsidP="0027034B">
            <w:pPr>
              <w:keepNext/>
              <w:keepLines/>
              <w:jc w:val="right"/>
            </w:pPr>
            <w:r w:rsidRPr="00A8245B">
              <w:t xml:space="preserve">        5.157.254,01 € </w:t>
            </w:r>
          </w:p>
        </w:tc>
      </w:tr>
      <w:tr w:rsidR="00BB69DB" w:rsidRPr="00A8245B" w14:paraId="3DDC498D"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031649CA" w14:textId="77777777" w:rsidR="00BB69DB" w:rsidRPr="00A8245B" w:rsidRDefault="00BB69DB" w:rsidP="0027034B">
            <w:pPr>
              <w:keepNext/>
              <w:keepLines/>
            </w:pPr>
            <w:r w:rsidRPr="00A8245B">
              <w:t>54.</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09197698" w14:textId="77777777" w:rsidR="00BB69DB" w:rsidRPr="00A8245B" w:rsidRDefault="00BB69DB" w:rsidP="0027034B">
            <w:pPr>
              <w:keepNext/>
              <w:keepLines/>
            </w:pPr>
            <w:r w:rsidRPr="00A8245B">
              <w:t>N-DO-5/2024</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30E75F24" w14:textId="77777777" w:rsidR="00BB69DB" w:rsidRPr="00A8245B" w:rsidRDefault="00BB69DB" w:rsidP="0027034B">
            <w:pPr>
              <w:keepNext/>
              <w:keepLines/>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3739C235" w14:textId="77777777" w:rsidR="00BB69DB" w:rsidRPr="00A8245B" w:rsidRDefault="00BB69DB" w:rsidP="0027034B">
            <w:pPr>
              <w:keepNext/>
              <w:keepLines/>
              <w:jc w:val="right"/>
            </w:pPr>
            <w:r w:rsidRPr="00A8245B">
              <w:t xml:space="preserve">     10.000.000,00 € </w:t>
            </w:r>
          </w:p>
        </w:tc>
      </w:tr>
      <w:tr w:rsidR="00BB69DB" w:rsidRPr="00A8245B" w14:paraId="4A6A84EA"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46FE83BC" w14:textId="77777777" w:rsidR="00BB69DB" w:rsidRPr="00A8245B" w:rsidRDefault="00BB69DB" w:rsidP="0027034B">
            <w:pPr>
              <w:keepNext/>
              <w:keepLines/>
            </w:pPr>
            <w:r w:rsidRPr="00A8245B">
              <w:t>55.</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2D109126" w14:textId="77777777" w:rsidR="00BB69DB" w:rsidRPr="00A8245B" w:rsidRDefault="00BB69DB" w:rsidP="0027034B">
            <w:pPr>
              <w:keepNext/>
              <w:keepLines/>
            </w:pPr>
            <w:r w:rsidRPr="00A8245B">
              <w:t>P-DO-21/2024-2</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6F9D2E14" w14:textId="77777777" w:rsidR="00BB69DB" w:rsidRPr="00A8245B" w:rsidRDefault="00BB69DB" w:rsidP="0027034B">
            <w:pPr>
              <w:keepNext/>
              <w:keepLines/>
            </w:pPr>
            <w:r w:rsidRPr="00A8245B">
              <w:t>radi utvrđenja prava vlasništva i upis prava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7BFD95D8" w14:textId="77777777" w:rsidR="00BB69DB" w:rsidRPr="00A8245B" w:rsidRDefault="00BB69DB" w:rsidP="0027034B">
            <w:pPr>
              <w:keepNext/>
              <w:keepLines/>
              <w:jc w:val="right"/>
            </w:pPr>
            <w:r w:rsidRPr="00A8245B">
              <w:t xml:space="preserve">              20.000,00 € </w:t>
            </w:r>
          </w:p>
        </w:tc>
      </w:tr>
      <w:tr w:rsidR="00BB69DB" w:rsidRPr="00A8245B" w14:paraId="3D359A0F"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7379F22D" w14:textId="77777777" w:rsidR="00BB69DB" w:rsidRPr="00A8245B" w:rsidRDefault="00BB69DB" w:rsidP="0027034B">
            <w:pPr>
              <w:keepNext/>
              <w:keepLines/>
            </w:pPr>
            <w:r w:rsidRPr="00A8245B">
              <w:t>56.</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284C9B24" w14:textId="77777777" w:rsidR="00BB69DB" w:rsidRPr="00A8245B" w:rsidRDefault="00BB69DB" w:rsidP="0027034B">
            <w:pPr>
              <w:keepNext/>
              <w:keepLines/>
            </w:pPr>
            <w:proofErr w:type="spellStart"/>
            <w:r w:rsidRPr="00A8245B">
              <w:t>Posl</w:t>
            </w:r>
            <w:proofErr w:type="spellEnd"/>
            <w:r w:rsidRPr="00A8245B">
              <w:t>. br. P-2520/19</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1DE8720C" w14:textId="77777777" w:rsidR="00BB69DB" w:rsidRPr="00A8245B" w:rsidRDefault="00BB69DB" w:rsidP="0027034B">
            <w:pPr>
              <w:keepNext/>
              <w:keepLines/>
            </w:pPr>
            <w:r w:rsidRPr="00A8245B">
              <w:t>brisanje upisa pomorskog dobra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796BF226" w14:textId="77777777" w:rsidR="00BB69DB" w:rsidRPr="00A8245B" w:rsidRDefault="00BB69DB" w:rsidP="0027034B">
            <w:pPr>
              <w:keepNext/>
              <w:keepLines/>
              <w:jc w:val="right"/>
            </w:pPr>
            <w:r w:rsidRPr="00A8245B">
              <w:t xml:space="preserve">                    400,00 € </w:t>
            </w:r>
          </w:p>
        </w:tc>
      </w:tr>
      <w:tr w:rsidR="00BB69DB" w:rsidRPr="00A8245B" w14:paraId="1E28E6A9"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4C640DD6" w14:textId="77777777" w:rsidR="00BB69DB" w:rsidRPr="00A8245B" w:rsidRDefault="00BB69DB" w:rsidP="0027034B">
            <w:pPr>
              <w:keepNext/>
              <w:keepLines/>
            </w:pPr>
            <w:r w:rsidRPr="00A8245B">
              <w:t>57.</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3573A329" w14:textId="77777777" w:rsidR="00BB69DB" w:rsidRPr="00A8245B" w:rsidRDefault="00BB69DB" w:rsidP="0027034B">
            <w:pPr>
              <w:keepNext/>
              <w:keepLines/>
            </w:pPr>
            <w:r w:rsidRPr="00A8245B">
              <w:t>P-DO-31/2021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30471C42" w14:textId="77777777" w:rsidR="00BB69DB" w:rsidRPr="00A8245B" w:rsidRDefault="00BB69DB" w:rsidP="0027034B">
            <w:pPr>
              <w:keepNext/>
              <w:keepLines/>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3313EAF1" w14:textId="77777777" w:rsidR="00BB69DB" w:rsidRPr="00A8245B" w:rsidRDefault="00BB69DB" w:rsidP="0027034B">
            <w:pPr>
              <w:keepNext/>
              <w:keepLines/>
              <w:jc w:val="right"/>
            </w:pPr>
            <w:r w:rsidRPr="00A8245B">
              <w:t xml:space="preserve">           200.000,00 € </w:t>
            </w:r>
          </w:p>
        </w:tc>
      </w:tr>
      <w:tr w:rsidR="00BB69DB" w:rsidRPr="00A8245B" w14:paraId="128AF00D"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2225A355" w14:textId="77777777" w:rsidR="00BB69DB" w:rsidRPr="00A8245B" w:rsidRDefault="00BB69DB" w:rsidP="0027034B">
            <w:pPr>
              <w:keepNext/>
              <w:keepLines/>
            </w:pPr>
            <w:r w:rsidRPr="00A8245B">
              <w:t>58.</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18F7C7BA" w14:textId="77777777" w:rsidR="00BB69DB" w:rsidRPr="00A8245B" w:rsidRDefault="00BB69DB" w:rsidP="0027034B">
            <w:pPr>
              <w:keepNext/>
              <w:keepLines/>
            </w:pPr>
            <w:r w:rsidRPr="00A8245B">
              <w:t>P-DO-63/2024-2</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74B5E7DC" w14:textId="77777777" w:rsidR="00BB69DB" w:rsidRPr="00A8245B" w:rsidRDefault="00BB69DB" w:rsidP="0027034B">
            <w:pPr>
              <w:keepNext/>
              <w:keepLines/>
            </w:pPr>
            <w:r w:rsidRPr="00A8245B">
              <w:t>ispravak zemljišnoknjižnog upisa radi upisa pomorskog dobra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018CD318" w14:textId="77777777" w:rsidR="00BB69DB" w:rsidRPr="00A8245B" w:rsidRDefault="00BB69DB" w:rsidP="0027034B">
            <w:pPr>
              <w:keepNext/>
              <w:keepLines/>
              <w:jc w:val="right"/>
            </w:pPr>
            <w:r w:rsidRPr="00A8245B">
              <w:t xml:space="preserve">                1.333,00 € </w:t>
            </w:r>
          </w:p>
        </w:tc>
      </w:tr>
      <w:tr w:rsidR="00BB69DB" w:rsidRPr="00A8245B" w14:paraId="0F788E31"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7727DC44" w14:textId="77777777" w:rsidR="00BB69DB" w:rsidRPr="00A8245B" w:rsidRDefault="00BB69DB" w:rsidP="0027034B">
            <w:pPr>
              <w:keepNext/>
              <w:keepLines/>
            </w:pPr>
            <w:r w:rsidRPr="00A8245B">
              <w:t>59.</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4F3A153A" w14:textId="77777777" w:rsidR="00BB69DB" w:rsidRPr="00A8245B" w:rsidRDefault="00BB69DB" w:rsidP="0027034B">
            <w:pPr>
              <w:keepNext/>
              <w:keepLines/>
            </w:pPr>
            <w:r w:rsidRPr="00A8245B">
              <w:t>P-DO-64/2024-3</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024D1F53" w14:textId="77777777" w:rsidR="00BB69DB" w:rsidRPr="00A8245B" w:rsidRDefault="00BB69DB" w:rsidP="0027034B">
            <w:pPr>
              <w:keepNext/>
              <w:keepLines/>
            </w:pPr>
            <w:r w:rsidRPr="00A8245B">
              <w:t>ispravak zemljišnoknjižnog upisa radi upisa pomorskog dobra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63B7710B" w14:textId="77777777" w:rsidR="00BB69DB" w:rsidRPr="00A8245B" w:rsidRDefault="00BB69DB" w:rsidP="0027034B">
            <w:pPr>
              <w:keepNext/>
              <w:keepLines/>
              <w:jc w:val="right"/>
            </w:pPr>
            <w:r w:rsidRPr="00A8245B">
              <w:t xml:space="preserve">                1.333,00 € </w:t>
            </w:r>
          </w:p>
        </w:tc>
      </w:tr>
      <w:tr w:rsidR="00BB69DB" w:rsidRPr="00A8245B" w14:paraId="50EA852F"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1EF39417" w14:textId="77777777" w:rsidR="00BB69DB" w:rsidRPr="00A8245B" w:rsidRDefault="00BB69DB" w:rsidP="0027034B">
            <w:pPr>
              <w:keepNext/>
              <w:keepLines/>
            </w:pPr>
            <w:r w:rsidRPr="00A8245B">
              <w:t>60.</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0185093B" w14:textId="77777777" w:rsidR="00BB69DB" w:rsidRPr="00A8245B" w:rsidRDefault="00BB69DB" w:rsidP="0027034B">
            <w:pPr>
              <w:keepNext/>
              <w:keepLines/>
            </w:pPr>
            <w:r w:rsidRPr="00A8245B">
              <w:t>P-DO-13/2024</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67BFCBDC" w14:textId="77777777" w:rsidR="00BB69DB" w:rsidRPr="00A8245B" w:rsidRDefault="00BB69DB" w:rsidP="0027034B">
            <w:pPr>
              <w:keepNext/>
              <w:keepLines/>
            </w:pPr>
            <w:r w:rsidRPr="00A8245B">
              <w:t>radi ispravka zemljišnoknjižnog upisa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43FCB64D" w14:textId="77777777" w:rsidR="00BB69DB" w:rsidRPr="00A8245B" w:rsidRDefault="00BB69DB" w:rsidP="0027034B">
            <w:pPr>
              <w:keepNext/>
              <w:keepLines/>
              <w:jc w:val="right"/>
            </w:pPr>
            <w:r w:rsidRPr="00A8245B">
              <w:t xml:space="preserve">        1.286.400,00 € </w:t>
            </w:r>
          </w:p>
        </w:tc>
      </w:tr>
      <w:tr w:rsidR="00BB69DB" w:rsidRPr="00A8245B" w14:paraId="4324A55B"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5004346A" w14:textId="77777777" w:rsidR="00BB69DB" w:rsidRPr="00A8245B" w:rsidRDefault="00BB69DB" w:rsidP="0027034B">
            <w:pPr>
              <w:keepNext/>
              <w:keepLines/>
            </w:pPr>
            <w:r w:rsidRPr="00A8245B">
              <w:t>61.</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4C5BA644" w14:textId="77777777" w:rsidR="00BB69DB" w:rsidRPr="00A8245B" w:rsidRDefault="00BB69DB" w:rsidP="0027034B">
            <w:pPr>
              <w:keepNext/>
              <w:keepLines/>
            </w:pPr>
            <w:r w:rsidRPr="00A8245B">
              <w:t>P-DO-6/2021-67</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73065DC9" w14:textId="77777777" w:rsidR="00BB69DB" w:rsidRPr="00A8245B" w:rsidRDefault="00BB69DB" w:rsidP="0027034B">
            <w:pPr>
              <w:keepNext/>
              <w:keepLines/>
            </w:pPr>
            <w:r w:rsidRPr="00A8245B">
              <w:t>radi upisa pomorskog dobra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5648D51D" w14:textId="77777777" w:rsidR="00BB69DB" w:rsidRPr="00A8245B" w:rsidRDefault="00BB69DB" w:rsidP="0027034B">
            <w:pPr>
              <w:keepNext/>
              <w:keepLines/>
              <w:jc w:val="right"/>
            </w:pPr>
            <w:r w:rsidRPr="00A8245B">
              <w:t xml:space="preserve">        2.468.644,24 € </w:t>
            </w:r>
          </w:p>
        </w:tc>
      </w:tr>
      <w:tr w:rsidR="00BB69DB" w:rsidRPr="00A8245B" w14:paraId="3BD80851"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6FE87C82" w14:textId="77777777" w:rsidR="00BB69DB" w:rsidRPr="00A8245B" w:rsidRDefault="00BB69DB" w:rsidP="0027034B">
            <w:pPr>
              <w:keepNext/>
              <w:keepLines/>
            </w:pPr>
            <w:r w:rsidRPr="00A8245B">
              <w:t>62.</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44FD6902" w14:textId="77777777" w:rsidR="00BB69DB" w:rsidRPr="00A8245B" w:rsidRDefault="00BB69DB" w:rsidP="0027034B">
            <w:pPr>
              <w:keepNext/>
              <w:keepLines/>
            </w:pPr>
            <w:r w:rsidRPr="00A8245B">
              <w:t>P-DO-9/25-XVI</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48B24D37" w14:textId="77777777" w:rsidR="00BB69DB" w:rsidRPr="00A8245B" w:rsidRDefault="00BB69DB" w:rsidP="0027034B">
            <w:pPr>
              <w:keepNext/>
              <w:keepLines/>
            </w:pPr>
            <w:r w:rsidRPr="00A8245B">
              <w:t>radi utvrđenja pomorskog dobra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7B490880" w14:textId="77777777" w:rsidR="00BB69DB" w:rsidRPr="00A8245B" w:rsidRDefault="00BB69DB" w:rsidP="0027034B">
            <w:pPr>
              <w:keepNext/>
              <w:keepLines/>
              <w:jc w:val="right"/>
            </w:pPr>
            <w:r w:rsidRPr="00A8245B">
              <w:t xml:space="preserve">              10.327,00 € </w:t>
            </w:r>
          </w:p>
        </w:tc>
      </w:tr>
      <w:tr w:rsidR="00BB69DB" w:rsidRPr="00A8245B" w14:paraId="515BD2FA"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69C3E1F7" w14:textId="77777777" w:rsidR="00BB69DB" w:rsidRPr="00A8245B" w:rsidRDefault="00BB69DB" w:rsidP="0027034B">
            <w:pPr>
              <w:keepNext/>
              <w:keepLines/>
            </w:pPr>
            <w:r w:rsidRPr="00A8245B">
              <w:t>63.</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1AC0B911" w14:textId="77777777" w:rsidR="00BB69DB" w:rsidRPr="00A8245B" w:rsidRDefault="00BB69DB" w:rsidP="0027034B">
            <w:pPr>
              <w:keepNext/>
              <w:keepLines/>
            </w:pPr>
            <w:r w:rsidRPr="00A8245B">
              <w:t>N-DO-86/2025</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6E889013" w14:textId="77777777" w:rsidR="00BB69DB" w:rsidRPr="00A8245B" w:rsidRDefault="00BB69DB" w:rsidP="0027034B">
            <w:pPr>
              <w:keepNext/>
              <w:keepLines/>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080C0D03" w14:textId="77777777" w:rsidR="00BB69DB" w:rsidRPr="00A8245B" w:rsidRDefault="00BB69DB" w:rsidP="0027034B">
            <w:pPr>
              <w:keepNext/>
              <w:keepLines/>
              <w:jc w:val="right"/>
            </w:pPr>
            <w:r w:rsidRPr="00A8245B">
              <w:t xml:space="preserve">     79.464.350,00 € </w:t>
            </w:r>
          </w:p>
        </w:tc>
      </w:tr>
      <w:tr w:rsidR="00BB69DB" w:rsidRPr="00A8245B" w14:paraId="6A0A81F5"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4AB9A513" w14:textId="77777777" w:rsidR="00BB69DB" w:rsidRPr="00A8245B" w:rsidRDefault="00BB69DB" w:rsidP="0027034B">
            <w:pPr>
              <w:keepNext/>
              <w:keepLines/>
            </w:pPr>
            <w:r w:rsidRPr="00A8245B">
              <w:lastRenderedPageBreak/>
              <w:t>64.</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4EFEA517" w14:textId="77777777" w:rsidR="00BB69DB" w:rsidRPr="00A8245B" w:rsidRDefault="00BB69DB" w:rsidP="0027034B">
            <w:pPr>
              <w:keepNext/>
              <w:keepLines/>
            </w:pPr>
            <w:r w:rsidRPr="00A8245B">
              <w:t>P-DO-2/2022</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1A103F5F" w14:textId="77777777" w:rsidR="00BB69DB" w:rsidRPr="00A8245B" w:rsidRDefault="00BB69DB" w:rsidP="0027034B">
            <w:pPr>
              <w:keepNext/>
              <w:keepLines/>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7C5BD515" w14:textId="77777777" w:rsidR="00BB69DB" w:rsidRPr="00A8245B" w:rsidRDefault="00BB69DB" w:rsidP="0027034B">
            <w:pPr>
              <w:keepNext/>
              <w:keepLines/>
              <w:jc w:val="right"/>
            </w:pPr>
            <w:r w:rsidRPr="00A8245B">
              <w:t xml:space="preserve">           189.643,48 € </w:t>
            </w:r>
          </w:p>
        </w:tc>
      </w:tr>
      <w:tr w:rsidR="00BB69DB" w:rsidRPr="00A8245B" w14:paraId="292FE604"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3028939C" w14:textId="77777777" w:rsidR="00BB69DB" w:rsidRPr="00A8245B" w:rsidRDefault="00BB69DB" w:rsidP="0027034B">
            <w:pPr>
              <w:keepNext/>
              <w:keepLines/>
            </w:pPr>
            <w:r w:rsidRPr="00A8245B">
              <w:t>65.</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1FB387F6" w14:textId="77777777" w:rsidR="00BB69DB" w:rsidRPr="00A8245B" w:rsidRDefault="00BB69DB" w:rsidP="0027034B">
            <w:pPr>
              <w:keepNext/>
              <w:keepLines/>
            </w:pPr>
            <w:r w:rsidRPr="00A8245B">
              <w:t>P-DO-7/2025</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4573BC5D" w14:textId="77777777" w:rsidR="00BB69DB" w:rsidRPr="00A8245B" w:rsidRDefault="00BB69DB" w:rsidP="0027034B">
            <w:pPr>
              <w:keepNext/>
              <w:keepLines/>
            </w:pPr>
            <w:r w:rsidRPr="00A8245B">
              <w:t>radi ispravka zemljišno-knjižnog upisa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040E0704" w14:textId="77777777" w:rsidR="00BB69DB" w:rsidRPr="00A8245B" w:rsidRDefault="00BB69DB" w:rsidP="0027034B">
            <w:pPr>
              <w:keepNext/>
              <w:keepLines/>
              <w:jc w:val="right"/>
            </w:pPr>
            <w:r w:rsidRPr="00A8245B">
              <w:t xml:space="preserve">              10.000,00 € </w:t>
            </w:r>
          </w:p>
        </w:tc>
      </w:tr>
      <w:tr w:rsidR="00BB69DB" w:rsidRPr="00A8245B" w14:paraId="7E16C6BF"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2D97FED2" w14:textId="77777777" w:rsidR="00BB69DB" w:rsidRPr="00A8245B" w:rsidRDefault="00BB69DB" w:rsidP="0027034B">
            <w:pPr>
              <w:keepNext/>
              <w:keepLines/>
            </w:pPr>
            <w:r w:rsidRPr="00A8245B">
              <w:t>66.</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3B179030" w14:textId="77777777" w:rsidR="00BB69DB" w:rsidRPr="00A8245B" w:rsidRDefault="00BB69DB" w:rsidP="0027034B">
            <w:pPr>
              <w:keepNext/>
              <w:keepLines/>
            </w:pPr>
            <w:r w:rsidRPr="00A8245B">
              <w:t>P-DO-7/2025</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1203495F" w14:textId="77777777" w:rsidR="00BB69DB" w:rsidRPr="00A8245B" w:rsidRDefault="00BB69DB" w:rsidP="0027034B">
            <w:pPr>
              <w:keepNext/>
              <w:keepLines/>
            </w:pPr>
            <w:r w:rsidRPr="00A8245B">
              <w:t>osporava se upis pomorskog dobra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23228360" w14:textId="77777777" w:rsidR="00BB69DB" w:rsidRPr="00A8245B" w:rsidRDefault="00BB69DB" w:rsidP="0027034B">
            <w:pPr>
              <w:keepNext/>
              <w:keepLines/>
              <w:jc w:val="right"/>
            </w:pPr>
            <w:r w:rsidRPr="00A8245B">
              <w:t xml:space="preserve">              10.000,00 € </w:t>
            </w:r>
          </w:p>
        </w:tc>
      </w:tr>
      <w:tr w:rsidR="00BB69DB" w:rsidRPr="00A8245B" w14:paraId="4F8B72E3"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4AD39B86" w14:textId="77777777" w:rsidR="00BB69DB" w:rsidRPr="00A8245B" w:rsidRDefault="00BB69DB" w:rsidP="0027034B">
            <w:pPr>
              <w:keepNext/>
              <w:keepLines/>
            </w:pPr>
            <w:r w:rsidRPr="00A8245B">
              <w:t>67.</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3302538C" w14:textId="77777777" w:rsidR="00BB69DB" w:rsidRPr="00A8245B" w:rsidRDefault="00BB69DB" w:rsidP="0027034B">
            <w:pPr>
              <w:keepNext/>
              <w:keepLines/>
            </w:pPr>
            <w:r w:rsidRPr="00A8245B">
              <w:t>P-DO-23/2023-39</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7B4C02F7" w14:textId="77777777" w:rsidR="00BB69DB" w:rsidRPr="00A8245B" w:rsidRDefault="00BB69DB" w:rsidP="0027034B">
            <w:pPr>
              <w:keepNext/>
              <w:keepLines/>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2E1AA728" w14:textId="77777777" w:rsidR="00BB69DB" w:rsidRPr="00A8245B" w:rsidRDefault="00BB69DB" w:rsidP="0027034B">
            <w:pPr>
              <w:keepNext/>
              <w:keepLines/>
              <w:jc w:val="right"/>
            </w:pPr>
            <w:r w:rsidRPr="00A8245B">
              <w:t xml:space="preserve">           926.692,78 € </w:t>
            </w:r>
          </w:p>
        </w:tc>
      </w:tr>
      <w:tr w:rsidR="00BB69DB" w:rsidRPr="00A8245B" w14:paraId="27AED88A"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33C341A3" w14:textId="77777777" w:rsidR="00BB69DB" w:rsidRPr="00A8245B" w:rsidRDefault="00BB69DB" w:rsidP="0027034B">
            <w:pPr>
              <w:keepNext/>
              <w:keepLines/>
            </w:pPr>
            <w:r w:rsidRPr="00A8245B">
              <w:t>68.</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64B9D584" w14:textId="77777777" w:rsidR="00BB69DB" w:rsidRPr="00A8245B" w:rsidRDefault="00BB69DB" w:rsidP="0027034B">
            <w:pPr>
              <w:keepNext/>
              <w:keepLines/>
            </w:pPr>
            <w:r w:rsidRPr="00A8245B">
              <w:t>P-DO-6/2025</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484117D9" w14:textId="77777777" w:rsidR="00BB69DB" w:rsidRPr="00A8245B" w:rsidRDefault="00BB69DB" w:rsidP="0027034B">
            <w:pPr>
              <w:keepNext/>
              <w:keepLines/>
            </w:pPr>
            <w:r w:rsidRPr="00A8245B">
              <w:t>tužba radi uknjižbe pomorskog dobra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043CB315" w14:textId="77777777" w:rsidR="00BB69DB" w:rsidRPr="00A8245B" w:rsidRDefault="00BB69DB" w:rsidP="0027034B">
            <w:pPr>
              <w:keepNext/>
              <w:keepLines/>
              <w:jc w:val="right"/>
            </w:pPr>
            <w:r w:rsidRPr="00A8245B">
              <w:t xml:space="preserve">                1.327,23 € </w:t>
            </w:r>
          </w:p>
        </w:tc>
      </w:tr>
      <w:tr w:rsidR="00BB69DB" w:rsidRPr="00A8245B" w14:paraId="23D6DC74"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79B5EA8A" w14:textId="77777777" w:rsidR="00BB69DB" w:rsidRPr="00A8245B" w:rsidRDefault="00BB69DB" w:rsidP="0027034B">
            <w:pPr>
              <w:keepNext/>
              <w:keepLines/>
            </w:pPr>
            <w:r w:rsidRPr="00A8245B">
              <w:t>69.</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52F3AA1E" w14:textId="77777777" w:rsidR="00BB69DB" w:rsidRPr="00A8245B" w:rsidRDefault="00BB69DB" w:rsidP="0027034B">
            <w:pPr>
              <w:keepNext/>
              <w:keepLines/>
            </w:pPr>
            <w:r w:rsidRPr="00A8245B">
              <w:t>P-DO-6/2025</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68D20FA5" w14:textId="77777777" w:rsidR="00BB69DB" w:rsidRPr="00A8245B" w:rsidRDefault="00BB69DB" w:rsidP="0027034B">
            <w:pPr>
              <w:keepNext/>
              <w:keepLines/>
            </w:pPr>
            <w:r w:rsidRPr="00A8245B">
              <w:t>radi pomorskog dobra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5DAF2979" w14:textId="77777777" w:rsidR="00BB69DB" w:rsidRPr="00A8245B" w:rsidRDefault="00BB69DB" w:rsidP="0027034B">
            <w:pPr>
              <w:keepNext/>
              <w:keepLines/>
              <w:jc w:val="right"/>
            </w:pPr>
            <w:r w:rsidRPr="00A8245B">
              <w:t xml:space="preserve">              10.000,00 € </w:t>
            </w:r>
          </w:p>
        </w:tc>
      </w:tr>
      <w:tr w:rsidR="00BB69DB" w:rsidRPr="00A8245B" w14:paraId="07DCB94C"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04D40B49" w14:textId="77777777" w:rsidR="00BB69DB" w:rsidRPr="00A8245B" w:rsidRDefault="00BB69DB" w:rsidP="0027034B">
            <w:pPr>
              <w:keepNext/>
              <w:keepLines/>
            </w:pPr>
            <w:r w:rsidRPr="00A8245B">
              <w:t>70.</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55C1AB63" w14:textId="77777777" w:rsidR="00BB69DB" w:rsidRPr="00A8245B" w:rsidRDefault="00BB69DB" w:rsidP="0027034B">
            <w:pPr>
              <w:keepNext/>
              <w:keepLines/>
            </w:pPr>
            <w:r w:rsidRPr="00A8245B">
              <w:t>P-DO-2/2025</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01D8D3D4" w14:textId="77777777" w:rsidR="00BB69DB" w:rsidRPr="00A8245B" w:rsidRDefault="00BB69DB" w:rsidP="0027034B">
            <w:pPr>
              <w:keepNext/>
              <w:keepLines/>
            </w:pPr>
            <w:r w:rsidRPr="00A8245B">
              <w:t>ispravak zemljišnoknjižnog upisa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76431DD7" w14:textId="77777777" w:rsidR="00BB69DB" w:rsidRPr="00A8245B" w:rsidRDefault="00BB69DB" w:rsidP="0027034B">
            <w:pPr>
              <w:keepNext/>
              <w:keepLines/>
              <w:jc w:val="right"/>
            </w:pPr>
            <w:r w:rsidRPr="00A8245B">
              <w:t xml:space="preserve">              10.000,00 € </w:t>
            </w:r>
          </w:p>
        </w:tc>
      </w:tr>
      <w:tr w:rsidR="00BB69DB" w:rsidRPr="00A8245B" w14:paraId="6C2815CD"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39BD4A4A" w14:textId="77777777" w:rsidR="00BB69DB" w:rsidRPr="00A8245B" w:rsidRDefault="00BB69DB" w:rsidP="0027034B">
            <w:pPr>
              <w:keepNext/>
              <w:keepLines/>
            </w:pPr>
            <w:r w:rsidRPr="00A8245B">
              <w:t>71.</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2DD7BCC5" w14:textId="77777777" w:rsidR="00BB69DB" w:rsidRPr="00A8245B" w:rsidRDefault="00BB69DB" w:rsidP="0027034B">
            <w:pPr>
              <w:keepNext/>
              <w:keepLines/>
            </w:pPr>
            <w:r w:rsidRPr="00A8245B">
              <w:t>P-DO-3/2025</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48719AC5" w14:textId="77777777" w:rsidR="00BB69DB" w:rsidRPr="00A8245B" w:rsidRDefault="00BB69DB" w:rsidP="0027034B">
            <w:pPr>
              <w:keepNext/>
              <w:keepLines/>
            </w:pPr>
            <w:r w:rsidRPr="00A8245B">
              <w:t>radi ispravka zemljišnoknjižnog upisa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494B632A" w14:textId="77777777" w:rsidR="00BB69DB" w:rsidRPr="00A8245B" w:rsidRDefault="00BB69DB" w:rsidP="0027034B">
            <w:pPr>
              <w:keepNext/>
              <w:keepLines/>
              <w:jc w:val="right"/>
            </w:pPr>
            <w:r w:rsidRPr="00A8245B">
              <w:t xml:space="preserve">              10.000,00 € </w:t>
            </w:r>
          </w:p>
        </w:tc>
      </w:tr>
      <w:tr w:rsidR="00BB69DB" w:rsidRPr="00A8245B" w14:paraId="2A29006A"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58D9479E" w14:textId="77777777" w:rsidR="00BB69DB" w:rsidRPr="00A8245B" w:rsidRDefault="00BB69DB" w:rsidP="0027034B">
            <w:pPr>
              <w:keepNext/>
              <w:keepLines/>
            </w:pPr>
            <w:r w:rsidRPr="00A8245B">
              <w:t>72.</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229D52D7" w14:textId="77777777" w:rsidR="00BB69DB" w:rsidRPr="00A8245B" w:rsidRDefault="00BB69DB" w:rsidP="0027034B">
            <w:pPr>
              <w:keepNext/>
              <w:keepLines/>
            </w:pPr>
            <w:r w:rsidRPr="00A8245B">
              <w:t>P-DO-6/2024</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087FBECD" w14:textId="77777777" w:rsidR="00BB69DB" w:rsidRPr="00A8245B" w:rsidRDefault="00BB69DB" w:rsidP="0027034B">
            <w:pPr>
              <w:keepNext/>
              <w:keepLines/>
            </w:pPr>
            <w:r w:rsidRPr="00A8245B">
              <w:t>ispravak zemljišnoknjižnog upisa radi upisa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27C776E5" w14:textId="77777777" w:rsidR="00BB69DB" w:rsidRPr="00A8245B" w:rsidRDefault="00BB69DB" w:rsidP="0027034B">
            <w:pPr>
              <w:keepNext/>
              <w:keepLines/>
              <w:jc w:val="right"/>
            </w:pPr>
            <w:r w:rsidRPr="00A8245B">
              <w:t xml:space="preserve">              10.000,00 € </w:t>
            </w:r>
          </w:p>
        </w:tc>
      </w:tr>
      <w:tr w:rsidR="00BB69DB" w:rsidRPr="00A8245B" w14:paraId="30ED9B78"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0201B874" w14:textId="77777777" w:rsidR="00BB69DB" w:rsidRPr="00A8245B" w:rsidRDefault="00BB69DB" w:rsidP="0027034B">
            <w:pPr>
              <w:keepNext/>
              <w:keepLines/>
            </w:pPr>
            <w:r w:rsidRPr="00A8245B">
              <w:t>73.</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170DFABB" w14:textId="77777777" w:rsidR="00BB69DB" w:rsidRPr="00A8245B" w:rsidRDefault="00BB69DB" w:rsidP="0027034B">
            <w:pPr>
              <w:keepNext/>
              <w:keepLines/>
            </w:pPr>
            <w:r w:rsidRPr="00A8245B">
              <w:t>P-DO-7/2024</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0E58A172" w14:textId="77777777" w:rsidR="00BB69DB" w:rsidRPr="00A8245B" w:rsidRDefault="00BB69DB" w:rsidP="0027034B">
            <w:pPr>
              <w:keepNext/>
              <w:keepLines/>
            </w:pPr>
            <w:r w:rsidRPr="00A8245B">
              <w:t>ispravak zemljišnoknjižnog upisa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79363DCB" w14:textId="77777777" w:rsidR="00BB69DB" w:rsidRPr="00A8245B" w:rsidRDefault="00BB69DB" w:rsidP="0027034B">
            <w:pPr>
              <w:keepNext/>
              <w:keepLines/>
              <w:jc w:val="right"/>
            </w:pPr>
            <w:r w:rsidRPr="00A8245B">
              <w:t xml:space="preserve">              10.000,00 € </w:t>
            </w:r>
          </w:p>
        </w:tc>
      </w:tr>
      <w:tr w:rsidR="00BB69DB" w:rsidRPr="00A8245B" w14:paraId="3ADDC512"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267214D9" w14:textId="77777777" w:rsidR="00BB69DB" w:rsidRPr="00A8245B" w:rsidRDefault="00BB69DB" w:rsidP="0027034B">
            <w:pPr>
              <w:keepNext/>
              <w:keepLines/>
            </w:pPr>
            <w:r w:rsidRPr="00A8245B">
              <w:t>74.</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0196A2E6" w14:textId="77777777" w:rsidR="00BB69DB" w:rsidRPr="00A8245B" w:rsidRDefault="00BB69DB" w:rsidP="0027034B">
            <w:pPr>
              <w:keepNext/>
              <w:keepLines/>
            </w:pPr>
            <w:r w:rsidRPr="00A8245B">
              <w:t>N-DO-21/2025</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0AF411C6" w14:textId="77777777" w:rsidR="00BB69DB" w:rsidRPr="00A8245B" w:rsidRDefault="00BB69DB" w:rsidP="0027034B">
            <w:pPr>
              <w:keepNext/>
              <w:keepLines/>
            </w:pPr>
            <w:r w:rsidRPr="00A8245B">
              <w:t>Zahtjev za mirno rješenje spora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505A7F98" w14:textId="77777777" w:rsidR="00BB69DB" w:rsidRPr="00A8245B" w:rsidRDefault="00BB69DB" w:rsidP="0027034B">
            <w:pPr>
              <w:keepNext/>
              <w:keepLines/>
              <w:jc w:val="right"/>
            </w:pPr>
            <w:r w:rsidRPr="00A8245B">
              <w:t xml:space="preserve">           601.234,32 € </w:t>
            </w:r>
          </w:p>
        </w:tc>
      </w:tr>
      <w:tr w:rsidR="00BB69DB" w:rsidRPr="00A8245B" w14:paraId="1E8C6DD1"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68DE1369" w14:textId="77777777" w:rsidR="00BB69DB" w:rsidRPr="00A8245B" w:rsidRDefault="00BB69DB" w:rsidP="0027034B">
            <w:pPr>
              <w:keepNext/>
              <w:keepLines/>
            </w:pPr>
            <w:r w:rsidRPr="00A8245B">
              <w:t>75.</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2A9B951D" w14:textId="77777777" w:rsidR="00BB69DB" w:rsidRPr="00A8245B" w:rsidRDefault="00BB69DB" w:rsidP="0027034B">
            <w:pPr>
              <w:keepNext/>
              <w:keepLines/>
            </w:pPr>
            <w:r w:rsidRPr="00A8245B">
              <w:t>P-246/2014</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2DB43794" w14:textId="77777777" w:rsidR="00BB69DB" w:rsidRPr="00A8245B" w:rsidRDefault="00BB69DB" w:rsidP="0027034B">
            <w:pPr>
              <w:keepNext/>
              <w:keepLines/>
            </w:pPr>
            <w:r w:rsidRPr="00A8245B">
              <w:t>radi: naplate potraživanja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75C4EB86" w14:textId="77777777" w:rsidR="00BB69DB" w:rsidRPr="00A8245B" w:rsidRDefault="00BB69DB" w:rsidP="0027034B">
            <w:pPr>
              <w:keepNext/>
              <w:keepLines/>
              <w:jc w:val="right"/>
            </w:pPr>
            <w:r w:rsidRPr="00A8245B">
              <w:t xml:space="preserve">              53.354,57 € </w:t>
            </w:r>
          </w:p>
        </w:tc>
      </w:tr>
      <w:tr w:rsidR="00BB69DB" w:rsidRPr="00A8245B" w14:paraId="1502986C"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0C5DA167" w14:textId="77777777" w:rsidR="00BB69DB" w:rsidRPr="00A8245B" w:rsidRDefault="00BB69DB" w:rsidP="0027034B">
            <w:pPr>
              <w:keepNext/>
              <w:keepLines/>
            </w:pPr>
            <w:r w:rsidRPr="00A8245B">
              <w:t>76.</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7F05A1EA" w14:textId="77777777" w:rsidR="00BB69DB" w:rsidRPr="00A8245B" w:rsidRDefault="00BB69DB" w:rsidP="0027034B">
            <w:pPr>
              <w:keepNext/>
              <w:keepLines/>
            </w:pPr>
            <w:r w:rsidRPr="00A8245B">
              <w:t>Pr-228/16</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16218260" w14:textId="77777777" w:rsidR="00BB69DB" w:rsidRPr="00A8245B" w:rsidRDefault="00BB69DB" w:rsidP="0027034B">
            <w:pPr>
              <w:keepNext/>
              <w:keepLines/>
            </w:pPr>
            <w:r w:rsidRPr="00A8245B">
              <w:t>radi: isplate uvećanog dijela plaće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1E9353CD" w14:textId="77777777" w:rsidR="00BB69DB" w:rsidRPr="00A8245B" w:rsidRDefault="00BB69DB" w:rsidP="0027034B">
            <w:pPr>
              <w:keepNext/>
              <w:keepLines/>
              <w:jc w:val="right"/>
            </w:pPr>
            <w:r w:rsidRPr="00A8245B">
              <w:t xml:space="preserve">                1.393,59 € </w:t>
            </w:r>
          </w:p>
        </w:tc>
      </w:tr>
      <w:tr w:rsidR="00BB69DB" w:rsidRPr="00A8245B" w14:paraId="6DFB8823"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1F9E1C83" w14:textId="77777777" w:rsidR="00BB69DB" w:rsidRPr="00A8245B" w:rsidRDefault="00BB69DB" w:rsidP="0027034B">
            <w:pPr>
              <w:keepNext/>
              <w:keepLines/>
            </w:pPr>
            <w:r w:rsidRPr="00A8245B">
              <w:t>77.</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0FB886B0" w14:textId="77777777" w:rsidR="00BB69DB" w:rsidRPr="00A8245B" w:rsidRDefault="00BB69DB" w:rsidP="0027034B">
            <w:pPr>
              <w:keepNext/>
              <w:keepLines/>
            </w:pPr>
            <w:r w:rsidRPr="00A8245B">
              <w:t>Pr-172/16 (P-DO-30/2017)</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3513D126" w14:textId="77777777" w:rsidR="00BB69DB" w:rsidRPr="00A8245B" w:rsidRDefault="00BB69DB" w:rsidP="0027034B">
            <w:pPr>
              <w:keepNext/>
              <w:keepLines/>
            </w:pPr>
            <w:r w:rsidRPr="00A8245B">
              <w:t>radi: isplate uvećanog djela plaće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544B7605" w14:textId="77777777" w:rsidR="00BB69DB" w:rsidRPr="00A8245B" w:rsidRDefault="00BB69DB" w:rsidP="0027034B">
            <w:pPr>
              <w:keepNext/>
              <w:keepLines/>
              <w:jc w:val="right"/>
            </w:pPr>
            <w:r w:rsidRPr="00A8245B">
              <w:t xml:space="preserve">                1.924,48 € </w:t>
            </w:r>
          </w:p>
        </w:tc>
      </w:tr>
      <w:tr w:rsidR="00BB69DB" w:rsidRPr="00A8245B" w14:paraId="15B33B5C"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65A29D40" w14:textId="77777777" w:rsidR="00BB69DB" w:rsidRPr="00A8245B" w:rsidRDefault="00BB69DB" w:rsidP="0027034B">
            <w:pPr>
              <w:keepNext/>
              <w:keepLines/>
            </w:pPr>
            <w:r w:rsidRPr="00A8245B">
              <w:t>78.</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2A7787E1" w14:textId="77777777" w:rsidR="00BB69DB" w:rsidRPr="00A8245B" w:rsidRDefault="00BB69DB" w:rsidP="0027034B">
            <w:pPr>
              <w:keepNext/>
              <w:keepLines/>
            </w:pPr>
            <w:r w:rsidRPr="00A8245B">
              <w:t>Pn-303/17 (P-DO-89/17)</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46A47E3B" w14:textId="77777777" w:rsidR="00BB69DB" w:rsidRPr="00A8245B" w:rsidRDefault="00BB69DB" w:rsidP="0027034B">
            <w:pPr>
              <w:keepNext/>
              <w:keepLines/>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2F8B7FD1" w14:textId="77777777" w:rsidR="00BB69DB" w:rsidRPr="00A8245B" w:rsidRDefault="00BB69DB" w:rsidP="0027034B">
            <w:pPr>
              <w:keepNext/>
              <w:keepLines/>
              <w:jc w:val="right"/>
            </w:pPr>
            <w:r w:rsidRPr="00A8245B">
              <w:t xml:space="preserve">           163.912,67 € </w:t>
            </w:r>
          </w:p>
        </w:tc>
      </w:tr>
      <w:tr w:rsidR="00BB69DB" w:rsidRPr="00A8245B" w14:paraId="2FF61FB1"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17F90860" w14:textId="77777777" w:rsidR="00BB69DB" w:rsidRPr="00A8245B" w:rsidRDefault="00BB69DB" w:rsidP="0027034B">
            <w:pPr>
              <w:keepNext/>
              <w:keepLines/>
            </w:pPr>
            <w:r w:rsidRPr="00A8245B">
              <w:t>79.</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47C2F715" w14:textId="77777777" w:rsidR="00BB69DB" w:rsidRPr="00A8245B" w:rsidRDefault="00BB69DB" w:rsidP="0027034B">
            <w:pPr>
              <w:keepNext/>
              <w:keepLines/>
            </w:pPr>
            <w:r w:rsidRPr="00A8245B">
              <w:t>P-DO-26/12 P-DO-26/12(10. P-693/12)</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1D8DC0EA" w14:textId="77777777" w:rsidR="00BB69DB" w:rsidRPr="00A8245B" w:rsidRDefault="00BB69DB" w:rsidP="0027034B">
            <w:pPr>
              <w:keepNext/>
              <w:keepLines/>
            </w:pPr>
            <w:r w:rsidRPr="00A8245B">
              <w:t>radi: naknade štete uzrokovane onečišćenjem mora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622E9424" w14:textId="77777777" w:rsidR="00BB69DB" w:rsidRPr="00A8245B" w:rsidRDefault="00BB69DB" w:rsidP="0027034B">
            <w:pPr>
              <w:keepNext/>
              <w:keepLines/>
              <w:jc w:val="right"/>
            </w:pPr>
            <w:r w:rsidRPr="00A8245B">
              <w:t xml:space="preserve">           186.312,02 € </w:t>
            </w:r>
          </w:p>
        </w:tc>
      </w:tr>
      <w:tr w:rsidR="00BB69DB" w:rsidRPr="00A8245B" w14:paraId="2E5F98A3"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102A9163" w14:textId="77777777" w:rsidR="00BB69DB" w:rsidRPr="00A8245B" w:rsidRDefault="00BB69DB" w:rsidP="0027034B">
            <w:pPr>
              <w:keepNext/>
              <w:keepLines/>
            </w:pPr>
            <w:r w:rsidRPr="00A8245B">
              <w:t>80.</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4C182C66" w14:textId="77777777" w:rsidR="00BB69DB" w:rsidRPr="00A8245B" w:rsidRDefault="00BB69DB" w:rsidP="0027034B">
            <w:pPr>
              <w:keepNext/>
              <w:keepLines/>
            </w:pPr>
            <w:r w:rsidRPr="00A8245B">
              <w:t>(S-DO-284/19) St-71/2019</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566C300D" w14:textId="77777777" w:rsidR="00BB69DB" w:rsidRPr="00A8245B" w:rsidRDefault="00BB69DB" w:rsidP="0027034B">
            <w:pPr>
              <w:keepNext/>
              <w:keepLines/>
            </w:pPr>
            <w:r w:rsidRPr="00A8245B">
              <w:t>radi: nepodmirene obveze prema MMPI</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0F7C4B40" w14:textId="77777777" w:rsidR="00BB69DB" w:rsidRPr="00A8245B" w:rsidRDefault="00BB69DB" w:rsidP="0027034B">
            <w:pPr>
              <w:keepNext/>
              <w:keepLines/>
              <w:jc w:val="right"/>
            </w:pPr>
            <w:r w:rsidRPr="00A8245B">
              <w:t xml:space="preserve">                    212,09 € </w:t>
            </w:r>
          </w:p>
        </w:tc>
      </w:tr>
      <w:tr w:rsidR="00BB69DB" w:rsidRPr="00A8245B" w14:paraId="12DD1096"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246F7C82" w14:textId="77777777" w:rsidR="00BB69DB" w:rsidRPr="00A8245B" w:rsidRDefault="00BB69DB" w:rsidP="0027034B">
            <w:pPr>
              <w:keepNext/>
              <w:keepLines/>
            </w:pPr>
            <w:r w:rsidRPr="00A8245B">
              <w:t>81.</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64085227" w14:textId="77777777" w:rsidR="00BB69DB" w:rsidRPr="00A8245B" w:rsidRDefault="00BB69DB" w:rsidP="0027034B">
            <w:pPr>
              <w:keepNext/>
              <w:keepLines/>
            </w:pPr>
            <w:r w:rsidRPr="00A8245B">
              <w:t>P-108/20 (P-DO-11/2020)</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2E449496" w14:textId="77777777" w:rsidR="00BB69DB" w:rsidRPr="00A8245B" w:rsidRDefault="00BB69DB" w:rsidP="0027034B">
            <w:pPr>
              <w:keepNext/>
              <w:keepLines/>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1804FFFB" w14:textId="77777777" w:rsidR="00BB69DB" w:rsidRPr="00A8245B" w:rsidRDefault="00BB69DB" w:rsidP="0027034B">
            <w:pPr>
              <w:keepNext/>
              <w:keepLines/>
              <w:jc w:val="right"/>
            </w:pPr>
            <w:r w:rsidRPr="00A8245B">
              <w:t xml:space="preserve">              65.565,07 € </w:t>
            </w:r>
          </w:p>
        </w:tc>
      </w:tr>
      <w:tr w:rsidR="00BB69DB" w:rsidRPr="00A8245B" w14:paraId="46E88659"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45D1FA26" w14:textId="77777777" w:rsidR="00BB69DB" w:rsidRPr="00A8245B" w:rsidRDefault="00BB69DB" w:rsidP="0027034B">
            <w:pPr>
              <w:keepNext/>
              <w:keepLines/>
            </w:pPr>
            <w:r w:rsidRPr="00A8245B">
              <w:t>82.</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23764B5D" w14:textId="77777777" w:rsidR="00BB69DB" w:rsidRPr="00A8245B" w:rsidRDefault="00BB69DB" w:rsidP="0027034B">
            <w:pPr>
              <w:keepNext/>
              <w:keepLines/>
            </w:pPr>
            <w:r w:rsidRPr="00A8245B">
              <w:t>sudski broj nepoznat (P-DO-55/2020)</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0C35F42C" w14:textId="77777777" w:rsidR="00BB69DB" w:rsidRPr="00A8245B" w:rsidRDefault="00BB69DB" w:rsidP="0027034B">
            <w:pPr>
              <w:keepNext/>
              <w:keepLines/>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0CE4F71B" w14:textId="77777777" w:rsidR="00BB69DB" w:rsidRPr="00A8245B" w:rsidRDefault="00BB69DB" w:rsidP="0027034B">
            <w:pPr>
              <w:keepNext/>
              <w:keepLines/>
              <w:jc w:val="right"/>
            </w:pPr>
            <w:r w:rsidRPr="00A8245B">
              <w:t xml:space="preserve">              87.633,55 € </w:t>
            </w:r>
          </w:p>
        </w:tc>
      </w:tr>
      <w:tr w:rsidR="00BB69DB" w:rsidRPr="00A8245B" w14:paraId="6B50DA85"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6176DF5E" w14:textId="77777777" w:rsidR="00BB69DB" w:rsidRPr="00A8245B" w:rsidRDefault="00BB69DB" w:rsidP="0027034B">
            <w:pPr>
              <w:keepNext/>
              <w:keepLines/>
            </w:pPr>
            <w:r w:rsidRPr="00A8245B">
              <w:t>83.</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28640D97" w14:textId="77777777" w:rsidR="00BB69DB" w:rsidRPr="00A8245B" w:rsidRDefault="00BB69DB" w:rsidP="0027034B">
            <w:pPr>
              <w:keepNext/>
              <w:keepLines/>
            </w:pPr>
            <w:r w:rsidRPr="00A8245B">
              <w:t>sudski broj nepoznat (N-DO-30/2019)</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216A17AC" w14:textId="77777777" w:rsidR="00BB69DB" w:rsidRPr="00A8245B" w:rsidRDefault="00BB69DB" w:rsidP="0027034B">
            <w:pPr>
              <w:keepNext/>
              <w:keepLines/>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7E1AF5B3" w14:textId="77777777" w:rsidR="00BB69DB" w:rsidRPr="00A8245B" w:rsidRDefault="00BB69DB" w:rsidP="0027034B">
            <w:pPr>
              <w:keepNext/>
              <w:keepLines/>
              <w:jc w:val="right"/>
            </w:pPr>
            <w:r w:rsidRPr="00A8245B">
              <w:t xml:space="preserve">           119.450,53 € </w:t>
            </w:r>
          </w:p>
        </w:tc>
      </w:tr>
      <w:tr w:rsidR="00BB69DB" w:rsidRPr="00A8245B" w14:paraId="19A69F15"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17DC2252" w14:textId="77777777" w:rsidR="00BB69DB" w:rsidRPr="00A8245B" w:rsidRDefault="00BB69DB" w:rsidP="0027034B">
            <w:pPr>
              <w:keepNext/>
              <w:keepLines/>
            </w:pPr>
            <w:r w:rsidRPr="00A8245B">
              <w:t>84.</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731D5CF5" w14:textId="77777777" w:rsidR="00BB69DB" w:rsidRPr="00A8245B" w:rsidRDefault="00BB69DB" w:rsidP="0027034B">
            <w:pPr>
              <w:keepNext/>
              <w:keepLines/>
            </w:pPr>
            <w:r w:rsidRPr="00A8245B">
              <w:t>P-163/2019 (P-DO-63/2020)</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4884138C" w14:textId="77777777" w:rsidR="00BB69DB" w:rsidRPr="00A8245B" w:rsidRDefault="00BB69DB" w:rsidP="0027034B">
            <w:pPr>
              <w:keepNext/>
              <w:keepLines/>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0DEEB51C" w14:textId="77777777" w:rsidR="00BB69DB" w:rsidRPr="00A8245B" w:rsidRDefault="00BB69DB" w:rsidP="0027034B">
            <w:pPr>
              <w:keepNext/>
              <w:keepLines/>
              <w:jc w:val="right"/>
            </w:pPr>
            <w:r w:rsidRPr="00A8245B">
              <w:t xml:space="preserve">              70.077,64 € </w:t>
            </w:r>
          </w:p>
        </w:tc>
      </w:tr>
      <w:tr w:rsidR="00BB69DB" w:rsidRPr="00A8245B" w14:paraId="5981BF22"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2831AD0A" w14:textId="77777777" w:rsidR="00BB69DB" w:rsidRPr="00A8245B" w:rsidRDefault="00BB69DB" w:rsidP="0027034B">
            <w:pPr>
              <w:keepNext/>
              <w:keepLines/>
            </w:pPr>
            <w:r w:rsidRPr="00A8245B">
              <w:t>85.</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14C82C41" w14:textId="77777777" w:rsidR="00BB69DB" w:rsidRPr="00A8245B" w:rsidRDefault="00BB69DB" w:rsidP="0027034B">
            <w:pPr>
              <w:keepNext/>
              <w:keepLines/>
            </w:pPr>
            <w:r w:rsidRPr="00A8245B">
              <w:t>Pr-155/2020 (P-DO-157/2021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5E56885D" w14:textId="77777777" w:rsidR="00BB69DB" w:rsidRPr="00A8245B" w:rsidRDefault="00BB69DB" w:rsidP="0027034B">
            <w:pPr>
              <w:keepNext/>
              <w:keepLines/>
            </w:pPr>
            <w:r w:rsidRPr="00A8245B">
              <w:t>radi isplate uvećanog dijela plaće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38BA2DF4" w14:textId="77777777" w:rsidR="00BB69DB" w:rsidRPr="00A8245B" w:rsidRDefault="00BB69DB" w:rsidP="0027034B">
            <w:pPr>
              <w:keepNext/>
              <w:keepLines/>
              <w:jc w:val="right"/>
            </w:pPr>
            <w:r w:rsidRPr="00A8245B">
              <w:t xml:space="preserve">                    663,61 € </w:t>
            </w:r>
          </w:p>
        </w:tc>
      </w:tr>
      <w:tr w:rsidR="00BB69DB" w:rsidRPr="00A8245B" w14:paraId="377B194E"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618E5EDB" w14:textId="77777777" w:rsidR="00BB69DB" w:rsidRPr="00A8245B" w:rsidRDefault="00BB69DB" w:rsidP="0027034B">
            <w:pPr>
              <w:keepNext/>
              <w:keepLines/>
            </w:pPr>
            <w:r w:rsidRPr="00A8245B">
              <w:t>86.</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2DD9D9CB" w14:textId="77777777" w:rsidR="00BB69DB" w:rsidRPr="00A8245B" w:rsidRDefault="00BB69DB" w:rsidP="0027034B">
            <w:pPr>
              <w:keepNext/>
              <w:keepLines/>
            </w:pPr>
            <w:r w:rsidRPr="00A8245B">
              <w:t>Pr-154/2020(P-DO-158/2021)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1984F93F" w14:textId="77777777" w:rsidR="00BB69DB" w:rsidRPr="00A8245B" w:rsidRDefault="00BB69DB" w:rsidP="0027034B">
            <w:pPr>
              <w:keepNext/>
              <w:keepLines/>
            </w:pPr>
            <w:r w:rsidRPr="00A8245B">
              <w:t>radi isplate uvećanog dijela plaće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1D5A97B7" w14:textId="77777777" w:rsidR="00BB69DB" w:rsidRPr="00A8245B" w:rsidRDefault="00BB69DB" w:rsidP="0027034B">
            <w:pPr>
              <w:keepNext/>
              <w:keepLines/>
              <w:jc w:val="right"/>
            </w:pPr>
            <w:r w:rsidRPr="00A8245B">
              <w:t xml:space="preserve">                    663,61 € </w:t>
            </w:r>
          </w:p>
        </w:tc>
      </w:tr>
      <w:tr w:rsidR="00BB69DB" w:rsidRPr="00A8245B" w14:paraId="5BD00EEE"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0886864D" w14:textId="77777777" w:rsidR="00BB69DB" w:rsidRPr="00A8245B" w:rsidRDefault="00BB69DB" w:rsidP="0027034B">
            <w:pPr>
              <w:keepNext/>
              <w:keepLines/>
            </w:pPr>
            <w:r w:rsidRPr="00A8245B">
              <w:t>87.</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2BDAFDF5" w14:textId="77777777" w:rsidR="00BB69DB" w:rsidRPr="00A8245B" w:rsidRDefault="00BB69DB" w:rsidP="0027034B">
            <w:pPr>
              <w:keepNext/>
              <w:keepLines/>
            </w:pPr>
            <w:r w:rsidRPr="00A8245B">
              <w:t>Pr-336/2020 (P-DO-160/2021)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0B4D6C82" w14:textId="77777777" w:rsidR="00BB69DB" w:rsidRPr="00A8245B" w:rsidRDefault="00BB69DB" w:rsidP="0027034B">
            <w:pPr>
              <w:keepNext/>
              <w:keepLines/>
            </w:pPr>
            <w:r w:rsidRPr="00A8245B">
              <w:t>radi isplate uvećanog dijela plaće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34487C29" w14:textId="77777777" w:rsidR="00BB69DB" w:rsidRPr="00A8245B" w:rsidRDefault="00BB69DB" w:rsidP="0027034B">
            <w:pPr>
              <w:keepNext/>
              <w:keepLines/>
              <w:jc w:val="right"/>
            </w:pPr>
            <w:r w:rsidRPr="00A8245B">
              <w:t xml:space="preserve">                    663,61 € </w:t>
            </w:r>
          </w:p>
        </w:tc>
      </w:tr>
      <w:tr w:rsidR="00BB69DB" w:rsidRPr="00A8245B" w14:paraId="02FE97D1"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57D998BA" w14:textId="77777777" w:rsidR="00BB69DB" w:rsidRPr="00A8245B" w:rsidRDefault="00BB69DB" w:rsidP="0027034B">
            <w:pPr>
              <w:keepNext/>
              <w:keepLines/>
            </w:pPr>
            <w:r w:rsidRPr="00A8245B">
              <w:t>88.</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51C4F05C" w14:textId="77777777" w:rsidR="00BB69DB" w:rsidRPr="00A8245B" w:rsidRDefault="00BB69DB" w:rsidP="0027034B">
            <w:pPr>
              <w:keepNext/>
              <w:keepLines/>
            </w:pPr>
            <w:r w:rsidRPr="00A8245B">
              <w:t>Pr-337/2020</w:t>
            </w:r>
            <w:r w:rsidRPr="00A8245B">
              <w:br/>
              <w:t>(P-DO-159/2021)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0B45DCA1" w14:textId="77777777" w:rsidR="00BB69DB" w:rsidRPr="00A8245B" w:rsidRDefault="00BB69DB" w:rsidP="0027034B">
            <w:pPr>
              <w:keepNext/>
              <w:keepLines/>
            </w:pPr>
            <w:r w:rsidRPr="00A8245B">
              <w:t>radi isplate uvećanog dijela plaće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122DD2D9" w14:textId="77777777" w:rsidR="00BB69DB" w:rsidRPr="00A8245B" w:rsidRDefault="00BB69DB" w:rsidP="0027034B">
            <w:pPr>
              <w:keepNext/>
              <w:keepLines/>
              <w:jc w:val="right"/>
            </w:pPr>
            <w:r w:rsidRPr="00A8245B">
              <w:t xml:space="preserve">                    663,61 € </w:t>
            </w:r>
          </w:p>
        </w:tc>
      </w:tr>
      <w:tr w:rsidR="00BB69DB" w:rsidRPr="00A8245B" w14:paraId="02BDE47D"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7C12DD40" w14:textId="77777777" w:rsidR="00BB69DB" w:rsidRPr="00A8245B" w:rsidRDefault="00BB69DB" w:rsidP="0027034B">
            <w:pPr>
              <w:keepNext/>
              <w:keepLines/>
            </w:pPr>
            <w:r w:rsidRPr="00A8245B">
              <w:t>89.</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7ABEE685" w14:textId="77777777" w:rsidR="00BB69DB" w:rsidRPr="00A8245B" w:rsidRDefault="00BB69DB" w:rsidP="0027034B">
            <w:pPr>
              <w:keepNext/>
              <w:keepLines/>
            </w:pPr>
            <w:r w:rsidRPr="00A8245B">
              <w:t>Pn-92/2021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089E806B" w14:textId="77777777" w:rsidR="00BB69DB" w:rsidRPr="00A8245B" w:rsidRDefault="00BB69DB" w:rsidP="0027034B">
            <w:pPr>
              <w:keepNext/>
              <w:keepLines/>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43B14557" w14:textId="77777777" w:rsidR="00BB69DB" w:rsidRPr="00A8245B" w:rsidRDefault="00BB69DB" w:rsidP="0027034B">
            <w:pPr>
              <w:keepNext/>
              <w:keepLines/>
              <w:jc w:val="right"/>
            </w:pPr>
            <w:r w:rsidRPr="00A8245B">
              <w:t xml:space="preserve">              19.908,42 € </w:t>
            </w:r>
          </w:p>
        </w:tc>
      </w:tr>
      <w:tr w:rsidR="00BB69DB" w:rsidRPr="00A8245B" w14:paraId="7F924BE7"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49F346A2" w14:textId="77777777" w:rsidR="00BB69DB" w:rsidRPr="00A8245B" w:rsidRDefault="00BB69DB" w:rsidP="0027034B">
            <w:pPr>
              <w:keepNext/>
              <w:keepLines/>
            </w:pPr>
            <w:r w:rsidRPr="00A8245B">
              <w:t>90.</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14E989AD" w14:textId="77777777" w:rsidR="00BB69DB" w:rsidRPr="00A8245B" w:rsidRDefault="00BB69DB" w:rsidP="0027034B">
            <w:pPr>
              <w:keepNext/>
              <w:keepLines/>
            </w:pPr>
            <w:r w:rsidRPr="00A8245B">
              <w:t>_</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5E536DA4" w14:textId="77777777" w:rsidR="00BB69DB" w:rsidRPr="00A8245B" w:rsidRDefault="00BB69DB" w:rsidP="0027034B">
            <w:pPr>
              <w:keepNext/>
              <w:keepLines/>
            </w:pP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41A20478" w14:textId="77777777" w:rsidR="00BB69DB" w:rsidRPr="00A8245B" w:rsidRDefault="00BB69DB" w:rsidP="0027034B">
            <w:pPr>
              <w:keepNext/>
              <w:keepLines/>
              <w:jc w:val="right"/>
            </w:pPr>
            <w:r w:rsidRPr="00A8245B">
              <w:t xml:space="preserve">                5.995,79 € </w:t>
            </w:r>
          </w:p>
        </w:tc>
      </w:tr>
      <w:tr w:rsidR="00BB69DB" w:rsidRPr="00A8245B" w14:paraId="56A464E1"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2A76D4BB" w14:textId="77777777" w:rsidR="00BB69DB" w:rsidRPr="00A8245B" w:rsidRDefault="00BB69DB" w:rsidP="0027034B">
            <w:pPr>
              <w:keepNext/>
              <w:keepLines/>
            </w:pPr>
            <w:r w:rsidRPr="00A8245B">
              <w:t>91.</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2BCBCE7F" w14:textId="77777777" w:rsidR="00BB69DB" w:rsidRPr="00A8245B" w:rsidRDefault="00BB69DB" w:rsidP="0027034B">
            <w:pPr>
              <w:keepNext/>
              <w:keepLines/>
            </w:pPr>
            <w:r w:rsidRPr="00A8245B">
              <w:t>P-856/99 (stari broj) P-671/13 (novi broj)</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44BD9955" w14:textId="77777777" w:rsidR="00BB69DB" w:rsidRPr="00A8245B" w:rsidRDefault="00BB69DB" w:rsidP="0027034B">
            <w:pPr>
              <w:keepNext/>
              <w:keepLines/>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38B01863" w14:textId="77777777" w:rsidR="00BB69DB" w:rsidRPr="00A8245B" w:rsidRDefault="00BB69DB" w:rsidP="0027034B">
            <w:pPr>
              <w:keepNext/>
              <w:keepLines/>
              <w:jc w:val="right"/>
            </w:pPr>
            <w:r w:rsidRPr="00A8245B">
              <w:t xml:space="preserve">           416.683,26 € </w:t>
            </w:r>
          </w:p>
        </w:tc>
      </w:tr>
      <w:tr w:rsidR="00BB69DB" w:rsidRPr="00A8245B" w14:paraId="00C7F926"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7BBF008C" w14:textId="77777777" w:rsidR="00BB69DB" w:rsidRPr="00A8245B" w:rsidRDefault="00BB69DB" w:rsidP="0027034B">
            <w:pPr>
              <w:keepNext/>
              <w:keepLines/>
            </w:pPr>
            <w:r w:rsidRPr="00A8245B">
              <w:t>92.</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698501E1" w14:textId="77777777" w:rsidR="00BB69DB" w:rsidRPr="00A8245B" w:rsidRDefault="00BB69DB" w:rsidP="0027034B">
            <w:pPr>
              <w:keepNext/>
              <w:keepLines/>
            </w:pPr>
            <w:r w:rsidRPr="00A8245B">
              <w:t>P-1174/05 (stari broj)    P-9396/07    (novi broj)</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2EA5FADE" w14:textId="77777777" w:rsidR="00BB69DB" w:rsidRPr="00A8245B" w:rsidRDefault="00BB69DB" w:rsidP="0027034B">
            <w:pPr>
              <w:keepNext/>
              <w:keepLines/>
            </w:pPr>
            <w:r w:rsidRPr="00A8245B">
              <w:t>radi stjecanja bez osnove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3095E03B" w14:textId="77777777" w:rsidR="00BB69DB" w:rsidRPr="00A8245B" w:rsidRDefault="00BB69DB" w:rsidP="0027034B">
            <w:pPr>
              <w:keepNext/>
              <w:keepLines/>
              <w:jc w:val="right"/>
            </w:pPr>
            <w:r w:rsidRPr="00A8245B">
              <w:t xml:space="preserve">           554.468,47 € </w:t>
            </w:r>
          </w:p>
        </w:tc>
      </w:tr>
      <w:tr w:rsidR="00BB69DB" w:rsidRPr="00A8245B" w14:paraId="156FB128"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12ADE5BF" w14:textId="77777777" w:rsidR="00BB69DB" w:rsidRPr="00A8245B" w:rsidRDefault="00BB69DB" w:rsidP="0027034B">
            <w:pPr>
              <w:keepNext/>
              <w:keepLines/>
            </w:pPr>
            <w:r w:rsidRPr="00A8245B">
              <w:lastRenderedPageBreak/>
              <w:t>93.</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34539A0B" w14:textId="77777777" w:rsidR="00BB69DB" w:rsidRPr="00A8245B" w:rsidRDefault="00BB69DB" w:rsidP="0027034B">
            <w:pPr>
              <w:keepNext/>
              <w:keepLines/>
            </w:pPr>
            <w:r w:rsidRPr="00A8245B">
              <w:t>P-1913/01 (stari broj)    P-2724/11    (novi broj)</w:t>
            </w:r>
            <w:r w:rsidRPr="00A8245B">
              <w:br/>
              <w:t>p-1699/15</w:t>
            </w:r>
            <w:r w:rsidRPr="00A8245B">
              <w:br/>
              <w:t>(novi broj)</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06496C2F" w14:textId="77777777" w:rsidR="00BB69DB" w:rsidRPr="00A8245B" w:rsidRDefault="00BB69DB" w:rsidP="0027034B">
            <w:pPr>
              <w:keepNext/>
              <w:keepLines/>
            </w:pPr>
            <w:r w:rsidRPr="00A8245B">
              <w:t>radi utvrđivanja prava vlasništva 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49C7EA2E" w14:textId="77777777" w:rsidR="00BB69DB" w:rsidRPr="00A8245B" w:rsidRDefault="00BB69DB" w:rsidP="0027034B">
            <w:pPr>
              <w:keepNext/>
              <w:keepLines/>
              <w:jc w:val="right"/>
            </w:pPr>
            <w:r w:rsidRPr="00A8245B">
              <w:t xml:space="preserve">                1.327,23 € </w:t>
            </w:r>
          </w:p>
        </w:tc>
      </w:tr>
      <w:tr w:rsidR="00BB69DB" w:rsidRPr="00A8245B" w14:paraId="40EE0C79"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78EBFD6E" w14:textId="77777777" w:rsidR="00BB69DB" w:rsidRPr="00A8245B" w:rsidRDefault="00BB69DB" w:rsidP="0027034B">
            <w:pPr>
              <w:keepNext/>
              <w:keepLines/>
            </w:pPr>
            <w:r w:rsidRPr="00A8245B">
              <w:t>94.</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1066641E" w14:textId="77777777" w:rsidR="00BB69DB" w:rsidRPr="00A8245B" w:rsidRDefault="00BB69DB" w:rsidP="0027034B">
            <w:pPr>
              <w:keepNext/>
              <w:keepLines/>
            </w:pPr>
            <w:r w:rsidRPr="00A8245B">
              <w:t>P-1732/07</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431B8FD1" w14:textId="77777777" w:rsidR="00BB69DB" w:rsidRPr="00A8245B" w:rsidRDefault="00BB69DB" w:rsidP="0027034B">
            <w:pPr>
              <w:keepNext/>
              <w:keepLines/>
            </w:pPr>
            <w:r w:rsidRPr="00A8245B">
              <w:t>radi utvrđenja ništavosti darovnog ugovora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13691241" w14:textId="77777777" w:rsidR="00BB69DB" w:rsidRPr="00A8245B" w:rsidRDefault="00BB69DB" w:rsidP="0027034B">
            <w:pPr>
              <w:keepNext/>
              <w:keepLines/>
              <w:jc w:val="right"/>
            </w:pPr>
            <w:r w:rsidRPr="00A8245B">
              <w:t xml:space="preserve">           846.771,52 € </w:t>
            </w:r>
          </w:p>
        </w:tc>
      </w:tr>
      <w:tr w:rsidR="00BB69DB" w:rsidRPr="00A8245B" w14:paraId="5B60EF97"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07615507" w14:textId="77777777" w:rsidR="00BB69DB" w:rsidRPr="00A8245B" w:rsidRDefault="00BB69DB" w:rsidP="0027034B">
            <w:pPr>
              <w:keepNext/>
              <w:keepLines/>
            </w:pPr>
            <w:r w:rsidRPr="00A8245B">
              <w:t>95.</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3C07A391" w14:textId="77777777" w:rsidR="00BB69DB" w:rsidRPr="00A8245B" w:rsidRDefault="00BB69DB" w:rsidP="0027034B">
            <w:pPr>
              <w:keepNext/>
              <w:keepLines/>
            </w:pPr>
            <w:r w:rsidRPr="00A8245B">
              <w:t>Pn-6539/10</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0C1ACA18" w14:textId="77777777" w:rsidR="00BB69DB" w:rsidRPr="00A8245B" w:rsidRDefault="00BB69DB" w:rsidP="0027034B">
            <w:pPr>
              <w:keepNext/>
              <w:keepLines/>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7AC7BB14" w14:textId="77777777" w:rsidR="00BB69DB" w:rsidRPr="00A8245B" w:rsidRDefault="00BB69DB" w:rsidP="0027034B">
            <w:pPr>
              <w:keepNext/>
              <w:keepLines/>
              <w:jc w:val="right"/>
            </w:pPr>
            <w:r w:rsidRPr="00A8245B">
              <w:t xml:space="preserve">              26.544,56 € </w:t>
            </w:r>
          </w:p>
        </w:tc>
      </w:tr>
      <w:tr w:rsidR="00BB69DB" w:rsidRPr="00A8245B" w14:paraId="7E08746E"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30D4617A" w14:textId="77777777" w:rsidR="00BB69DB" w:rsidRPr="00A8245B" w:rsidRDefault="00BB69DB" w:rsidP="0027034B">
            <w:pPr>
              <w:keepNext/>
              <w:keepLines/>
            </w:pPr>
            <w:r w:rsidRPr="00A8245B">
              <w:t>96.</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5EAC5531" w14:textId="77777777" w:rsidR="00BB69DB" w:rsidRPr="00A8245B" w:rsidRDefault="00BB69DB" w:rsidP="0027034B">
            <w:pPr>
              <w:keepNext/>
              <w:keepLines/>
            </w:pPr>
            <w:r w:rsidRPr="00A8245B">
              <w:t>P-5931/14</w:t>
            </w:r>
            <w:r w:rsidRPr="00A8245B">
              <w:br/>
              <w:t>(stari broj)</w:t>
            </w:r>
            <w:r w:rsidRPr="00A8245B">
              <w:br/>
              <w:t>P-2951/15</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144D2AC5" w14:textId="77777777" w:rsidR="00BB69DB" w:rsidRPr="00A8245B" w:rsidRDefault="00BB69DB" w:rsidP="0027034B">
            <w:pPr>
              <w:keepNext/>
              <w:keepLines/>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6F6E859B" w14:textId="77777777" w:rsidR="00BB69DB" w:rsidRPr="00A8245B" w:rsidRDefault="00BB69DB" w:rsidP="0027034B">
            <w:pPr>
              <w:keepNext/>
              <w:keepLines/>
              <w:jc w:val="right"/>
            </w:pPr>
            <w:r w:rsidRPr="00A8245B">
              <w:t xml:space="preserve">        1.361.683,07 € </w:t>
            </w:r>
          </w:p>
        </w:tc>
      </w:tr>
      <w:tr w:rsidR="00BB69DB" w:rsidRPr="00A8245B" w14:paraId="56A7F9AB"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25679A2C" w14:textId="77777777" w:rsidR="00BB69DB" w:rsidRPr="00A8245B" w:rsidRDefault="00BB69DB" w:rsidP="0027034B">
            <w:pPr>
              <w:keepNext/>
              <w:keepLines/>
            </w:pPr>
            <w:r w:rsidRPr="00A8245B">
              <w:t>97.</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1292475B" w14:textId="77777777" w:rsidR="00BB69DB" w:rsidRPr="00A8245B" w:rsidRDefault="00BB69DB" w:rsidP="0027034B">
            <w:pPr>
              <w:keepNext/>
              <w:keepLines/>
            </w:pPr>
            <w:r w:rsidRPr="00A8245B">
              <w:t>ODZ VII P-DO/1079/07</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10C81879" w14:textId="77777777" w:rsidR="00BB69DB" w:rsidRPr="00A8245B" w:rsidRDefault="00BB69DB" w:rsidP="0027034B">
            <w:pPr>
              <w:keepNext/>
              <w:keepLines/>
            </w:pPr>
            <w:r w:rsidRPr="00A8245B">
              <w:t>priznavanje ulaganja u nekretninu</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675F8616" w14:textId="77777777" w:rsidR="00BB69DB" w:rsidRPr="00A8245B" w:rsidRDefault="00BB69DB" w:rsidP="0027034B">
            <w:pPr>
              <w:keepNext/>
              <w:keepLines/>
              <w:jc w:val="right"/>
            </w:pPr>
            <w:r w:rsidRPr="00A8245B">
              <w:t xml:space="preserve">           344.752,67 € </w:t>
            </w:r>
          </w:p>
        </w:tc>
      </w:tr>
      <w:tr w:rsidR="00BB69DB" w:rsidRPr="00A8245B" w14:paraId="37CB78F3"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052202BF" w14:textId="77777777" w:rsidR="00BB69DB" w:rsidRPr="00A8245B" w:rsidRDefault="00BB69DB" w:rsidP="0027034B">
            <w:pPr>
              <w:keepNext/>
              <w:keepLines/>
            </w:pPr>
            <w:r w:rsidRPr="00A8245B">
              <w:t>98.</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04D002E7" w14:textId="77777777" w:rsidR="00BB69DB" w:rsidRPr="00A8245B" w:rsidRDefault="00BB69DB" w:rsidP="0027034B">
            <w:pPr>
              <w:keepNext/>
              <w:keepLines/>
            </w:pPr>
            <w:r w:rsidRPr="00A8245B">
              <w:t>P-489/14</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3B0BFD28" w14:textId="77777777" w:rsidR="00BB69DB" w:rsidRPr="00A8245B" w:rsidRDefault="00BB69DB" w:rsidP="0027034B">
            <w:pPr>
              <w:keepNext/>
              <w:keepLines/>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55FBCBEF" w14:textId="77777777" w:rsidR="00BB69DB" w:rsidRPr="00A8245B" w:rsidRDefault="00BB69DB" w:rsidP="0027034B">
            <w:pPr>
              <w:keepNext/>
              <w:keepLines/>
              <w:jc w:val="right"/>
            </w:pPr>
            <w:r w:rsidRPr="00A8245B">
              <w:t xml:space="preserve">              50.434,67 € </w:t>
            </w:r>
          </w:p>
        </w:tc>
      </w:tr>
      <w:tr w:rsidR="00BB69DB" w:rsidRPr="00A8245B" w14:paraId="134EF04E"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13EBD60D" w14:textId="77777777" w:rsidR="00BB69DB" w:rsidRPr="00A8245B" w:rsidRDefault="00BB69DB" w:rsidP="0027034B">
            <w:pPr>
              <w:keepNext/>
              <w:keepLines/>
            </w:pPr>
            <w:r w:rsidRPr="00A8245B">
              <w:t>99.</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597F670B" w14:textId="77777777" w:rsidR="00BB69DB" w:rsidRPr="00A8245B" w:rsidRDefault="00BB69DB" w:rsidP="0027034B">
            <w:pPr>
              <w:keepNext/>
              <w:keepLines/>
            </w:pPr>
            <w:r w:rsidRPr="00A8245B">
              <w:t>P-489/14</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07A1054A" w14:textId="77777777" w:rsidR="00BB69DB" w:rsidRPr="00A8245B" w:rsidRDefault="00BB69DB" w:rsidP="0027034B">
            <w:pPr>
              <w:keepNext/>
              <w:keepLines/>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475497C3" w14:textId="77777777" w:rsidR="00BB69DB" w:rsidRPr="00A8245B" w:rsidRDefault="00BB69DB" w:rsidP="0027034B">
            <w:pPr>
              <w:keepNext/>
              <w:keepLines/>
              <w:jc w:val="right"/>
            </w:pPr>
            <w:r w:rsidRPr="00A8245B">
              <w:t xml:space="preserve">              50.273,28 € </w:t>
            </w:r>
          </w:p>
        </w:tc>
      </w:tr>
      <w:tr w:rsidR="00BB69DB" w:rsidRPr="00A8245B" w14:paraId="5438ECD1"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5665995B" w14:textId="77777777" w:rsidR="00BB69DB" w:rsidRPr="00A8245B" w:rsidRDefault="00BB69DB" w:rsidP="0027034B">
            <w:pPr>
              <w:keepNext/>
              <w:keepLines/>
            </w:pPr>
            <w:r w:rsidRPr="00A8245B">
              <w:t>100.</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12B91AAB" w14:textId="77777777" w:rsidR="00BB69DB" w:rsidRPr="00A8245B" w:rsidRDefault="00BB69DB" w:rsidP="0027034B">
            <w:pPr>
              <w:keepNext/>
              <w:keepLines/>
            </w:pPr>
            <w:r w:rsidRPr="00A8245B">
              <w:t>Pn-5409/11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6240C718" w14:textId="77777777" w:rsidR="00BB69DB" w:rsidRPr="00A8245B" w:rsidRDefault="00BB69DB" w:rsidP="0027034B">
            <w:pPr>
              <w:keepNext/>
              <w:keepLines/>
            </w:pPr>
            <w:r w:rsidRPr="00A8245B">
              <w:t>radi: štete zbog izgubljene zarade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6A22CDAA" w14:textId="77777777" w:rsidR="00BB69DB" w:rsidRPr="00A8245B" w:rsidRDefault="00BB69DB" w:rsidP="0027034B">
            <w:pPr>
              <w:keepNext/>
              <w:keepLines/>
              <w:jc w:val="right"/>
            </w:pPr>
            <w:r w:rsidRPr="00A8245B">
              <w:t xml:space="preserve">              56.423,19 € </w:t>
            </w:r>
          </w:p>
        </w:tc>
      </w:tr>
      <w:tr w:rsidR="00BB69DB" w:rsidRPr="00A8245B" w14:paraId="10F41C6C"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26E1E3A5" w14:textId="77777777" w:rsidR="00BB69DB" w:rsidRPr="00A8245B" w:rsidRDefault="00BB69DB" w:rsidP="0027034B">
            <w:pPr>
              <w:keepNext/>
              <w:keepLines/>
            </w:pPr>
            <w:r w:rsidRPr="00A8245B">
              <w:t>101.</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42E702FD" w14:textId="77777777" w:rsidR="00BB69DB" w:rsidRPr="00A8245B" w:rsidRDefault="00BB69DB" w:rsidP="0027034B">
            <w:pPr>
              <w:keepNext/>
              <w:keepLines/>
            </w:pPr>
            <w:r w:rsidRPr="00A8245B">
              <w:t>P-143/15</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336A79C7" w14:textId="77777777" w:rsidR="00BB69DB" w:rsidRPr="00A8245B" w:rsidRDefault="00BB69DB" w:rsidP="0027034B">
            <w:pPr>
              <w:keepNext/>
              <w:keepLines/>
            </w:pPr>
            <w:r w:rsidRPr="00A8245B">
              <w:t>radi: naknada štete za oduzeto zemljište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16CEA747" w14:textId="77777777" w:rsidR="00BB69DB" w:rsidRPr="00A8245B" w:rsidRDefault="00BB69DB" w:rsidP="0027034B">
            <w:pPr>
              <w:keepNext/>
              <w:keepLines/>
              <w:jc w:val="right"/>
            </w:pPr>
            <w:r w:rsidRPr="00A8245B">
              <w:t xml:space="preserve">              10.511,65 € </w:t>
            </w:r>
          </w:p>
        </w:tc>
      </w:tr>
      <w:tr w:rsidR="00BB69DB" w:rsidRPr="00A8245B" w14:paraId="60C8C503"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7FF3159A" w14:textId="77777777" w:rsidR="00BB69DB" w:rsidRPr="00A8245B" w:rsidRDefault="00BB69DB" w:rsidP="0027034B">
            <w:pPr>
              <w:keepNext/>
              <w:keepLines/>
            </w:pPr>
            <w:r w:rsidRPr="00A8245B">
              <w:t>102.</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2B90A1E5" w14:textId="77777777" w:rsidR="00BB69DB" w:rsidRPr="00A8245B" w:rsidRDefault="00BB69DB" w:rsidP="0027034B">
            <w:pPr>
              <w:keepNext/>
              <w:keepLines/>
            </w:pPr>
            <w:proofErr w:type="spellStart"/>
            <w:r w:rsidRPr="00A8245B">
              <w:t>Rev</w:t>
            </w:r>
            <w:proofErr w:type="spellEnd"/>
            <w:r w:rsidRPr="00A8245B">
              <w:t xml:space="preserve"> 1788/11-2</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669F85DC" w14:textId="77777777" w:rsidR="00BB69DB" w:rsidRPr="00A8245B" w:rsidRDefault="00BB69DB" w:rsidP="0027034B">
            <w:pPr>
              <w:keepNext/>
              <w:keepLines/>
            </w:pPr>
            <w:r w:rsidRPr="00A8245B">
              <w:t>radi: predaje u posjed 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10DF478E" w14:textId="77777777" w:rsidR="00BB69DB" w:rsidRPr="00A8245B" w:rsidRDefault="00BB69DB" w:rsidP="0027034B">
            <w:pPr>
              <w:keepNext/>
              <w:keepLines/>
              <w:jc w:val="right"/>
            </w:pPr>
            <w:r w:rsidRPr="00A8245B">
              <w:t xml:space="preserve">              39.020,51 € </w:t>
            </w:r>
          </w:p>
        </w:tc>
      </w:tr>
      <w:tr w:rsidR="00BB69DB" w:rsidRPr="00A8245B" w14:paraId="21F76921"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113AE74C" w14:textId="77777777" w:rsidR="00BB69DB" w:rsidRPr="00A8245B" w:rsidRDefault="00BB69DB" w:rsidP="0027034B">
            <w:pPr>
              <w:keepNext/>
              <w:keepLines/>
            </w:pPr>
            <w:r w:rsidRPr="00A8245B">
              <w:t>103.</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1BC814F8" w14:textId="77777777" w:rsidR="00BB69DB" w:rsidRPr="00A8245B" w:rsidRDefault="00BB69DB" w:rsidP="0027034B">
            <w:pPr>
              <w:keepNext/>
              <w:keepLines/>
            </w:pPr>
            <w:r w:rsidRPr="00A8245B">
              <w:t>PN-2069/18</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65D93712" w14:textId="77777777" w:rsidR="00BB69DB" w:rsidRPr="00A8245B" w:rsidRDefault="00BB69DB" w:rsidP="0027034B">
            <w:pPr>
              <w:keepNext/>
              <w:keepLines/>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5922AA98" w14:textId="77777777" w:rsidR="00BB69DB" w:rsidRPr="00A8245B" w:rsidRDefault="00BB69DB" w:rsidP="0027034B">
            <w:pPr>
              <w:keepNext/>
              <w:keepLines/>
              <w:jc w:val="right"/>
            </w:pPr>
            <w:r w:rsidRPr="00A8245B">
              <w:t xml:space="preserve">           128.263,09 € </w:t>
            </w:r>
          </w:p>
        </w:tc>
      </w:tr>
      <w:tr w:rsidR="00BB69DB" w:rsidRPr="00A8245B" w14:paraId="07AED951"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2B88DDA6" w14:textId="77777777" w:rsidR="00BB69DB" w:rsidRPr="00A8245B" w:rsidRDefault="00BB69DB" w:rsidP="0027034B">
            <w:pPr>
              <w:keepNext/>
              <w:keepLines/>
            </w:pPr>
            <w:r w:rsidRPr="00A8245B">
              <w:t>104.</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3CABE7CC" w14:textId="77777777" w:rsidR="00BB69DB" w:rsidRPr="00A8245B" w:rsidRDefault="00BB69DB" w:rsidP="0027034B">
            <w:pPr>
              <w:keepNext/>
              <w:keepLines/>
            </w:pPr>
            <w:r w:rsidRPr="00A8245B">
              <w:t>P-1208/2019</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29E84352" w14:textId="77777777" w:rsidR="00BB69DB" w:rsidRPr="00A8245B" w:rsidRDefault="00BB69DB" w:rsidP="0027034B">
            <w:pPr>
              <w:keepNext/>
              <w:keepLines/>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4E6B5BD5" w14:textId="77777777" w:rsidR="00BB69DB" w:rsidRPr="00A8245B" w:rsidRDefault="00BB69DB" w:rsidP="0027034B">
            <w:pPr>
              <w:keepNext/>
              <w:keepLines/>
              <w:jc w:val="right"/>
            </w:pPr>
            <w:r w:rsidRPr="00A8245B">
              <w:t xml:space="preserve">        1.556.490,97 € </w:t>
            </w:r>
          </w:p>
        </w:tc>
      </w:tr>
      <w:tr w:rsidR="00BB69DB" w:rsidRPr="00A8245B" w14:paraId="0F495291"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59D3B138" w14:textId="77777777" w:rsidR="00BB69DB" w:rsidRPr="00A8245B" w:rsidRDefault="00BB69DB" w:rsidP="0027034B">
            <w:pPr>
              <w:keepNext/>
              <w:keepLines/>
            </w:pPr>
            <w:r w:rsidRPr="00A8245B">
              <w:t>105.</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2942A569" w14:textId="77777777" w:rsidR="00BB69DB" w:rsidRPr="00A8245B" w:rsidRDefault="00BB69DB" w:rsidP="0027034B">
            <w:pPr>
              <w:keepNext/>
              <w:keepLines/>
            </w:pPr>
            <w:r w:rsidRPr="00A8245B">
              <w:t>P-1207/2019</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7CD06E7B" w14:textId="77777777" w:rsidR="00BB69DB" w:rsidRPr="00A8245B" w:rsidRDefault="00BB69DB" w:rsidP="0027034B">
            <w:pPr>
              <w:keepNext/>
              <w:keepLines/>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632B4D82" w14:textId="77777777" w:rsidR="00BB69DB" w:rsidRPr="00A8245B" w:rsidRDefault="00BB69DB" w:rsidP="0027034B">
            <w:pPr>
              <w:keepNext/>
              <w:keepLines/>
              <w:jc w:val="right"/>
            </w:pPr>
            <w:r w:rsidRPr="00A8245B">
              <w:t xml:space="preserve">           565.362,40 € </w:t>
            </w:r>
          </w:p>
        </w:tc>
      </w:tr>
      <w:tr w:rsidR="00BB69DB" w:rsidRPr="00A8245B" w14:paraId="32136521"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0AF12C17" w14:textId="77777777" w:rsidR="00BB69DB" w:rsidRPr="00A8245B" w:rsidRDefault="00BB69DB" w:rsidP="0027034B">
            <w:pPr>
              <w:keepNext/>
              <w:keepLines/>
            </w:pPr>
            <w:r w:rsidRPr="00A8245B">
              <w:t>106.</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613536A9" w14:textId="77777777" w:rsidR="00BB69DB" w:rsidRPr="00A8245B" w:rsidRDefault="00BB69DB" w:rsidP="0027034B">
            <w:pPr>
              <w:keepNext/>
              <w:keepLines/>
            </w:pPr>
            <w:r w:rsidRPr="00A8245B">
              <w:t>P-2622/14</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517ED619" w14:textId="77777777" w:rsidR="00BB69DB" w:rsidRPr="00A8245B" w:rsidRDefault="00BB69DB" w:rsidP="0027034B">
            <w:pPr>
              <w:keepNext/>
              <w:keepLines/>
            </w:pPr>
            <w:r w:rsidRPr="00A8245B">
              <w:t>radi:</w:t>
            </w:r>
            <w:r>
              <w:t xml:space="preserve"> </w:t>
            </w:r>
            <w:r w:rsidRPr="00A8245B">
              <w:t>isplate garancije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09E85BB8" w14:textId="77777777" w:rsidR="00BB69DB" w:rsidRPr="00A8245B" w:rsidRDefault="00BB69DB" w:rsidP="0027034B">
            <w:pPr>
              <w:keepNext/>
              <w:keepLines/>
              <w:jc w:val="right"/>
            </w:pPr>
            <w:r w:rsidRPr="00A8245B">
              <w:t xml:space="preserve">           809.229,32 € </w:t>
            </w:r>
          </w:p>
        </w:tc>
      </w:tr>
      <w:tr w:rsidR="00BB69DB" w:rsidRPr="00A8245B" w14:paraId="67EF4F2D"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2D1B812D" w14:textId="77777777" w:rsidR="00BB69DB" w:rsidRPr="00A8245B" w:rsidRDefault="00BB69DB" w:rsidP="0027034B">
            <w:pPr>
              <w:keepNext/>
              <w:keepLines/>
            </w:pPr>
            <w:r w:rsidRPr="00A8245B">
              <w:t>107.</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13375B31" w14:textId="77777777" w:rsidR="00BB69DB" w:rsidRPr="00A8245B" w:rsidRDefault="00BB69DB" w:rsidP="0027034B">
            <w:pPr>
              <w:keepNext/>
              <w:keepLines/>
            </w:pPr>
            <w:r w:rsidRPr="00A8245B">
              <w:t>P-890/15</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4DB210FC" w14:textId="77777777" w:rsidR="00BB69DB" w:rsidRPr="00A8245B" w:rsidRDefault="00BB69DB" w:rsidP="0027034B">
            <w:pPr>
              <w:keepNext/>
              <w:keepLines/>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43427780" w14:textId="77777777" w:rsidR="00BB69DB" w:rsidRPr="00A8245B" w:rsidRDefault="00BB69DB" w:rsidP="0027034B">
            <w:pPr>
              <w:keepNext/>
              <w:keepLines/>
              <w:jc w:val="right"/>
            </w:pPr>
            <w:r w:rsidRPr="00A8245B">
              <w:t xml:space="preserve">           128.461,31 € </w:t>
            </w:r>
          </w:p>
        </w:tc>
      </w:tr>
      <w:tr w:rsidR="00BB69DB" w:rsidRPr="00A8245B" w14:paraId="56907BC4"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62BD5DD8" w14:textId="77777777" w:rsidR="00BB69DB" w:rsidRPr="00A8245B" w:rsidRDefault="00BB69DB" w:rsidP="0027034B">
            <w:pPr>
              <w:keepNext/>
              <w:keepLines/>
            </w:pPr>
            <w:r w:rsidRPr="00A8245B">
              <w:t>108.</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15C601E9" w14:textId="77777777" w:rsidR="00BB69DB" w:rsidRPr="00A8245B" w:rsidRDefault="00BB69DB" w:rsidP="0027034B">
            <w:pPr>
              <w:keepNext/>
              <w:keepLines/>
            </w:pPr>
            <w:r w:rsidRPr="00A8245B">
              <w:t>P-DO-13/16-84</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68440456" w14:textId="77777777" w:rsidR="00BB69DB" w:rsidRPr="00A8245B" w:rsidRDefault="00BB69DB" w:rsidP="0027034B">
            <w:pPr>
              <w:keepNext/>
              <w:keepLines/>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14673608" w14:textId="77777777" w:rsidR="00BB69DB" w:rsidRPr="00A8245B" w:rsidRDefault="00BB69DB" w:rsidP="0027034B">
            <w:pPr>
              <w:keepNext/>
              <w:keepLines/>
              <w:jc w:val="right"/>
            </w:pPr>
            <w:r w:rsidRPr="00A8245B">
              <w:t xml:space="preserve">           228.088,35 € </w:t>
            </w:r>
          </w:p>
        </w:tc>
      </w:tr>
      <w:tr w:rsidR="00BB69DB" w:rsidRPr="00A8245B" w14:paraId="55974145"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7FE8E424" w14:textId="77777777" w:rsidR="00BB69DB" w:rsidRPr="00A8245B" w:rsidRDefault="00BB69DB" w:rsidP="0027034B">
            <w:pPr>
              <w:keepNext/>
              <w:keepLines/>
            </w:pPr>
            <w:r w:rsidRPr="00A8245B">
              <w:t>109.</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24854665" w14:textId="77777777" w:rsidR="00BB69DB" w:rsidRPr="00A8245B" w:rsidRDefault="00BB69DB" w:rsidP="0027034B">
            <w:pPr>
              <w:keepNext/>
              <w:keepLines/>
            </w:pPr>
            <w:r w:rsidRPr="00A8245B">
              <w:t>050-01/23-01/269</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27EA5A59" w14:textId="77777777" w:rsidR="00BB69DB" w:rsidRPr="00A8245B" w:rsidRDefault="00BB69DB" w:rsidP="0027034B">
            <w:pPr>
              <w:keepNext/>
              <w:keepLines/>
            </w:pP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6498D103" w14:textId="77777777" w:rsidR="00BB69DB" w:rsidRPr="00A8245B" w:rsidRDefault="00BB69DB" w:rsidP="0027034B">
            <w:pPr>
              <w:keepNext/>
              <w:keepLines/>
              <w:jc w:val="right"/>
            </w:pPr>
            <w:r w:rsidRPr="00A8245B">
              <w:t xml:space="preserve">                    920,00 € </w:t>
            </w:r>
          </w:p>
        </w:tc>
      </w:tr>
      <w:tr w:rsidR="00BB69DB" w:rsidRPr="00A8245B" w14:paraId="2DD0FB2C" w14:textId="77777777" w:rsidTr="0027034B">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14:paraId="26AFE476" w14:textId="77777777" w:rsidR="00BB69DB" w:rsidRPr="00A8245B" w:rsidRDefault="00BB69DB" w:rsidP="0027034B">
            <w:pPr>
              <w:keepNext/>
              <w:keepLines/>
            </w:pPr>
            <w:r w:rsidRPr="00A8245B">
              <w:t>110.</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44DC4807" w14:textId="77777777" w:rsidR="00BB69DB" w:rsidRPr="00A8245B" w:rsidRDefault="00BB69DB" w:rsidP="0027034B">
            <w:pPr>
              <w:keepNext/>
              <w:keepLines/>
            </w:pPr>
            <w:r w:rsidRPr="00A8245B">
              <w:t>Us I-1479/2023</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14:paraId="51C4011E" w14:textId="77777777" w:rsidR="00BB69DB" w:rsidRPr="00A8245B" w:rsidRDefault="00BB69DB" w:rsidP="0027034B">
            <w:pPr>
              <w:keepNext/>
              <w:keepLines/>
            </w:pP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14:paraId="676BCE29" w14:textId="77777777" w:rsidR="00BB69DB" w:rsidRPr="00A8245B" w:rsidRDefault="00BB69DB" w:rsidP="0027034B">
            <w:pPr>
              <w:keepNext/>
              <w:keepLines/>
              <w:jc w:val="right"/>
            </w:pPr>
            <w:r w:rsidRPr="00A8245B">
              <w:t xml:space="preserve">                3.750,00 € </w:t>
            </w:r>
          </w:p>
        </w:tc>
      </w:tr>
      <w:tr w:rsidR="00BB69DB" w:rsidRPr="00A8245B" w14:paraId="0C9F0A0F" w14:textId="77777777" w:rsidTr="0027034B">
        <w:trPr>
          <w:cantSplit/>
        </w:trPr>
        <w:tc>
          <w:tcPr>
            <w:tcW w:w="700" w:type="dxa"/>
            <w:tcBorders>
              <w:top w:val="single" w:sz="8" w:space="0" w:color="BABABA"/>
              <w:left w:val="single" w:sz="12" w:space="0" w:color="BABABA"/>
              <w:bottom w:val="single" w:sz="12" w:space="0" w:color="BABABA"/>
              <w:right w:val="single" w:sz="8" w:space="0" w:color="BABABA"/>
            </w:tcBorders>
            <w:shd w:val="clear" w:color="auto" w:fill="auto"/>
            <w:tcMar>
              <w:top w:w="0" w:type="dxa"/>
              <w:bottom w:w="0" w:type="dxa"/>
            </w:tcMar>
            <w:vAlign w:val="center"/>
          </w:tcPr>
          <w:p w14:paraId="45409FA0" w14:textId="77777777" w:rsidR="00BB69DB" w:rsidRPr="00A8245B" w:rsidRDefault="00BB69DB" w:rsidP="0027034B">
            <w:pPr>
              <w:keepNext/>
              <w:keepLines/>
            </w:pPr>
            <w:r w:rsidRPr="00A8245B">
              <w:t>111.</w:t>
            </w:r>
          </w:p>
        </w:tc>
        <w:tc>
          <w:tcPr>
            <w:tcW w:w="3180" w:type="dxa"/>
            <w:tcBorders>
              <w:top w:val="single" w:sz="8" w:space="0" w:color="BABABA"/>
              <w:left w:val="single" w:sz="8" w:space="0" w:color="DADADA"/>
              <w:bottom w:val="single" w:sz="12" w:space="0" w:color="BABABA"/>
              <w:right w:val="single" w:sz="8" w:space="0" w:color="BABABA"/>
            </w:tcBorders>
            <w:shd w:val="clear" w:color="auto" w:fill="auto"/>
            <w:tcMar>
              <w:top w:w="0" w:type="dxa"/>
              <w:bottom w:w="0" w:type="dxa"/>
            </w:tcMar>
            <w:vAlign w:val="center"/>
          </w:tcPr>
          <w:p w14:paraId="5B389264" w14:textId="77777777" w:rsidR="00BB69DB" w:rsidRPr="00A8245B" w:rsidRDefault="00BB69DB" w:rsidP="0027034B">
            <w:pPr>
              <w:keepNext/>
              <w:keepLines/>
            </w:pPr>
            <w:r w:rsidRPr="00A8245B">
              <w:t>US I-3028/2025</w:t>
            </w:r>
          </w:p>
        </w:tc>
        <w:tc>
          <w:tcPr>
            <w:tcW w:w="2560" w:type="dxa"/>
            <w:tcBorders>
              <w:top w:val="single" w:sz="8" w:space="0" w:color="BABABA"/>
              <w:left w:val="single" w:sz="8" w:space="0" w:color="DADADA"/>
              <w:bottom w:val="single" w:sz="12" w:space="0" w:color="BABABA"/>
              <w:right w:val="single" w:sz="8" w:space="0" w:color="BABABA"/>
            </w:tcBorders>
            <w:shd w:val="clear" w:color="auto" w:fill="auto"/>
            <w:tcMar>
              <w:top w:w="0" w:type="dxa"/>
              <w:bottom w:w="0" w:type="dxa"/>
            </w:tcMar>
            <w:vAlign w:val="center"/>
          </w:tcPr>
          <w:p w14:paraId="2454FB4B" w14:textId="77777777" w:rsidR="00BB69DB" w:rsidRPr="00A8245B" w:rsidRDefault="00BB69DB" w:rsidP="0027034B">
            <w:pPr>
              <w:keepNext/>
              <w:keepLines/>
            </w:pPr>
            <w:r w:rsidRPr="00A8245B">
              <w:t>ukidanje licencije</w:t>
            </w:r>
          </w:p>
        </w:tc>
        <w:tc>
          <w:tcPr>
            <w:tcW w:w="2560" w:type="dxa"/>
            <w:tcBorders>
              <w:top w:val="single" w:sz="8" w:space="0" w:color="BABABA"/>
              <w:left w:val="single" w:sz="8" w:space="0" w:color="DADADA"/>
              <w:bottom w:val="single" w:sz="12" w:space="0" w:color="BABABA"/>
              <w:right w:val="single" w:sz="12" w:space="0" w:color="BABABA"/>
            </w:tcBorders>
            <w:shd w:val="clear" w:color="auto" w:fill="auto"/>
            <w:tcMar>
              <w:top w:w="0" w:type="dxa"/>
              <w:bottom w:w="0" w:type="dxa"/>
            </w:tcMar>
            <w:vAlign w:val="center"/>
          </w:tcPr>
          <w:p w14:paraId="6B39347A" w14:textId="77777777" w:rsidR="00BB69DB" w:rsidRPr="00A8245B" w:rsidRDefault="00BB69DB" w:rsidP="0027034B">
            <w:pPr>
              <w:keepNext/>
              <w:keepLines/>
              <w:jc w:val="right"/>
            </w:pPr>
            <w:r w:rsidRPr="00A8245B">
              <w:t xml:space="preserve">                1.250,00 € </w:t>
            </w:r>
          </w:p>
        </w:tc>
      </w:tr>
    </w:tbl>
    <w:p w14:paraId="76F00C2E" w14:textId="511B0928" w:rsidR="001039D6" w:rsidRDefault="001039D6" w:rsidP="00E80CD3">
      <w:pPr>
        <w:tabs>
          <w:tab w:val="left" w:pos="1170"/>
        </w:tabs>
        <w:rPr>
          <w:rFonts w:ascii="Calibri" w:hAnsi="Calibri"/>
          <w:sz w:val="22"/>
          <w:szCs w:val="22"/>
        </w:rPr>
        <w:sectPr w:rsidR="001039D6" w:rsidSect="0027034B">
          <w:footerReference w:type="default" r:id="rId14"/>
          <w:pgSz w:w="11907" w:h="16840" w:code="9"/>
          <w:pgMar w:top="851" w:right="1134" w:bottom="1276" w:left="1440" w:header="709" w:footer="699" w:gutter="0"/>
          <w:cols w:space="708"/>
          <w:titlePg/>
          <w:docGrid w:linePitch="360"/>
        </w:sectPr>
      </w:pPr>
    </w:p>
    <w:p w14:paraId="420E37B3" w14:textId="01839360" w:rsidR="001039D6" w:rsidRPr="00E41614" w:rsidRDefault="00D10A2D" w:rsidP="001039D6">
      <w:pPr>
        <w:pStyle w:val="Odlomakpopisa"/>
        <w:numPr>
          <w:ilvl w:val="0"/>
          <w:numId w:val="11"/>
        </w:numPr>
        <w:rPr>
          <w:rFonts w:ascii="Calibri" w:hAnsi="Calibri"/>
          <w:sz w:val="22"/>
          <w:szCs w:val="22"/>
        </w:rPr>
      </w:pPr>
      <w:r w:rsidRPr="00CB4C08">
        <w:rPr>
          <w:rFonts w:asciiTheme="minorHAnsi" w:eastAsia="SimSun" w:hAnsiTheme="minorHAnsi" w:cstheme="minorHAnsi"/>
          <w:b/>
          <w:bCs/>
          <w:color w:val="365F91"/>
          <w:sz w:val="28"/>
          <w:szCs w:val="28"/>
          <w:lang w:eastAsia="zh-CN"/>
        </w:rPr>
        <w:lastRenderedPageBreak/>
        <w:t>Popis pravnih osoba iz nadležnosti Ministarstva mora, prometa i infrastrukture*</w:t>
      </w:r>
    </w:p>
    <w:p w14:paraId="3ED898DC" w14:textId="77777777" w:rsidR="001039D6" w:rsidRPr="001039D6" w:rsidRDefault="001039D6" w:rsidP="001039D6">
      <w:pPr>
        <w:rPr>
          <w:rFonts w:ascii="Calibri" w:hAnsi="Calibri"/>
          <w:sz w:val="22"/>
          <w:szCs w:val="22"/>
        </w:rPr>
      </w:pPr>
    </w:p>
    <w:tbl>
      <w:tblPr>
        <w:tblStyle w:val="Reetkatablice"/>
        <w:tblW w:w="0" w:type="auto"/>
        <w:tblLook w:val="04A0" w:firstRow="1" w:lastRow="0" w:firstColumn="1" w:lastColumn="0" w:noHBand="0" w:noVBand="1"/>
      </w:tblPr>
      <w:tblGrid>
        <w:gridCol w:w="654"/>
        <w:gridCol w:w="3670"/>
        <w:gridCol w:w="3418"/>
        <w:gridCol w:w="1653"/>
        <w:gridCol w:w="1034"/>
        <w:gridCol w:w="2322"/>
        <w:gridCol w:w="1603"/>
        <w:gridCol w:w="1459"/>
        <w:gridCol w:w="2802"/>
        <w:gridCol w:w="3059"/>
      </w:tblGrid>
      <w:tr w:rsidR="000830AF" w:rsidRPr="00E41614" w14:paraId="561A0BFD" w14:textId="77777777" w:rsidTr="000830AF">
        <w:trPr>
          <w:trHeight w:val="2100"/>
        </w:trPr>
        <w:tc>
          <w:tcPr>
            <w:tcW w:w="610" w:type="dxa"/>
            <w:hideMark/>
          </w:tcPr>
          <w:p w14:paraId="0DDCD68A" w14:textId="77777777" w:rsidR="00E41614" w:rsidRPr="00E41614" w:rsidRDefault="00E41614" w:rsidP="000830AF">
            <w:pPr>
              <w:jc w:val="center"/>
              <w:rPr>
                <w:rFonts w:ascii="Calibri" w:hAnsi="Calibri"/>
                <w:b/>
                <w:bCs/>
                <w:sz w:val="22"/>
                <w:szCs w:val="22"/>
              </w:rPr>
            </w:pPr>
            <w:r w:rsidRPr="00E41614">
              <w:rPr>
                <w:rFonts w:ascii="Calibri" w:hAnsi="Calibri"/>
                <w:b/>
                <w:bCs/>
                <w:sz w:val="22"/>
                <w:szCs w:val="22"/>
              </w:rPr>
              <w:t>R.br.</w:t>
            </w:r>
          </w:p>
        </w:tc>
        <w:tc>
          <w:tcPr>
            <w:tcW w:w="3670" w:type="dxa"/>
            <w:hideMark/>
          </w:tcPr>
          <w:p w14:paraId="6C1F30FD" w14:textId="77777777" w:rsidR="00E41614" w:rsidRPr="00E41614" w:rsidRDefault="00E41614" w:rsidP="000830AF">
            <w:pPr>
              <w:jc w:val="center"/>
              <w:rPr>
                <w:rFonts w:ascii="Calibri" w:hAnsi="Calibri"/>
                <w:b/>
                <w:bCs/>
                <w:sz w:val="22"/>
                <w:szCs w:val="22"/>
              </w:rPr>
            </w:pPr>
            <w:r w:rsidRPr="00E41614">
              <w:rPr>
                <w:rFonts w:ascii="Calibri" w:hAnsi="Calibri"/>
                <w:b/>
                <w:bCs/>
                <w:sz w:val="22"/>
                <w:szCs w:val="22"/>
              </w:rPr>
              <w:t>Pravna osoba</w:t>
            </w:r>
          </w:p>
        </w:tc>
        <w:tc>
          <w:tcPr>
            <w:tcW w:w="3418" w:type="dxa"/>
            <w:hideMark/>
          </w:tcPr>
          <w:p w14:paraId="03A75758" w14:textId="77777777" w:rsidR="00E41614" w:rsidRPr="00E41614" w:rsidRDefault="00E41614" w:rsidP="000830AF">
            <w:pPr>
              <w:jc w:val="center"/>
              <w:rPr>
                <w:rFonts w:ascii="Calibri" w:hAnsi="Calibri"/>
                <w:b/>
                <w:bCs/>
                <w:sz w:val="22"/>
                <w:szCs w:val="22"/>
              </w:rPr>
            </w:pPr>
            <w:r w:rsidRPr="00E41614">
              <w:rPr>
                <w:rFonts w:ascii="Calibri" w:hAnsi="Calibri"/>
                <w:b/>
                <w:bCs/>
                <w:sz w:val="22"/>
                <w:szCs w:val="22"/>
              </w:rPr>
              <w:t>Adresa</w:t>
            </w:r>
          </w:p>
        </w:tc>
        <w:tc>
          <w:tcPr>
            <w:tcW w:w="1653" w:type="dxa"/>
            <w:hideMark/>
          </w:tcPr>
          <w:p w14:paraId="45CE8124" w14:textId="77777777" w:rsidR="00E41614" w:rsidRPr="00E41614" w:rsidRDefault="00E41614" w:rsidP="000830AF">
            <w:pPr>
              <w:jc w:val="center"/>
              <w:rPr>
                <w:rFonts w:ascii="Calibri" w:hAnsi="Calibri"/>
                <w:b/>
                <w:bCs/>
                <w:sz w:val="22"/>
                <w:szCs w:val="22"/>
              </w:rPr>
            </w:pPr>
            <w:r w:rsidRPr="00E41614">
              <w:rPr>
                <w:rFonts w:ascii="Calibri" w:hAnsi="Calibri"/>
                <w:b/>
                <w:bCs/>
                <w:sz w:val="22"/>
                <w:szCs w:val="22"/>
              </w:rPr>
              <w:t>OIB</w:t>
            </w:r>
          </w:p>
        </w:tc>
        <w:tc>
          <w:tcPr>
            <w:tcW w:w="1014" w:type="dxa"/>
            <w:hideMark/>
          </w:tcPr>
          <w:p w14:paraId="1E3D286F" w14:textId="77777777" w:rsidR="00E41614" w:rsidRPr="00E41614" w:rsidRDefault="00E41614" w:rsidP="000830AF">
            <w:pPr>
              <w:jc w:val="center"/>
              <w:rPr>
                <w:rFonts w:ascii="Calibri" w:hAnsi="Calibri"/>
                <w:b/>
                <w:bCs/>
                <w:sz w:val="22"/>
                <w:szCs w:val="22"/>
              </w:rPr>
            </w:pPr>
            <w:r w:rsidRPr="00E41614">
              <w:rPr>
                <w:rFonts w:ascii="Calibri" w:hAnsi="Calibri"/>
                <w:b/>
                <w:bCs/>
                <w:sz w:val="22"/>
                <w:szCs w:val="22"/>
              </w:rPr>
              <w:t>Pravni oblik</w:t>
            </w:r>
          </w:p>
        </w:tc>
        <w:tc>
          <w:tcPr>
            <w:tcW w:w="2322" w:type="dxa"/>
            <w:hideMark/>
          </w:tcPr>
          <w:p w14:paraId="2B44E272" w14:textId="77777777" w:rsidR="00E41614" w:rsidRPr="00E41614" w:rsidRDefault="00E41614" w:rsidP="000830AF">
            <w:pPr>
              <w:jc w:val="center"/>
              <w:rPr>
                <w:rFonts w:ascii="Calibri" w:hAnsi="Calibri"/>
                <w:b/>
                <w:bCs/>
                <w:sz w:val="22"/>
                <w:szCs w:val="22"/>
              </w:rPr>
            </w:pPr>
            <w:r w:rsidRPr="00E41614">
              <w:rPr>
                <w:rFonts w:ascii="Calibri" w:hAnsi="Calibri"/>
                <w:b/>
                <w:bCs/>
                <w:sz w:val="22"/>
                <w:szCs w:val="22"/>
              </w:rPr>
              <w:t>Osnivači/članovi društva/dioničari</w:t>
            </w:r>
          </w:p>
        </w:tc>
        <w:tc>
          <w:tcPr>
            <w:tcW w:w="1603" w:type="dxa"/>
            <w:hideMark/>
          </w:tcPr>
          <w:p w14:paraId="0CB00B21" w14:textId="77777777" w:rsidR="00E41614" w:rsidRPr="00E41614" w:rsidRDefault="00E41614" w:rsidP="000830AF">
            <w:pPr>
              <w:jc w:val="center"/>
              <w:rPr>
                <w:rFonts w:ascii="Calibri" w:hAnsi="Calibri"/>
                <w:b/>
                <w:bCs/>
                <w:sz w:val="22"/>
                <w:szCs w:val="22"/>
              </w:rPr>
            </w:pPr>
            <w:r w:rsidRPr="00E41614">
              <w:rPr>
                <w:rFonts w:ascii="Calibri" w:hAnsi="Calibri"/>
                <w:b/>
                <w:bCs/>
                <w:sz w:val="22"/>
                <w:szCs w:val="22"/>
              </w:rPr>
              <w:t>Obveznik sastavljanja i predaje Izjave o fiskalnoj odgovornosti ovom Ministarstvu</w:t>
            </w:r>
          </w:p>
        </w:tc>
        <w:tc>
          <w:tcPr>
            <w:tcW w:w="1459" w:type="dxa"/>
            <w:hideMark/>
          </w:tcPr>
          <w:p w14:paraId="58A7B10D" w14:textId="77777777" w:rsidR="00E41614" w:rsidRPr="00E41614" w:rsidRDefault="00E41614" w:rsidP="000830AF">
            <w:pPr>
              <w:jc w:val="center"/>
              <w:rPr>
                <w:rFonts w:ascii="Calibri" w:hAnsi="Calibri"/>
                <w:b/>
                <w:bCs/>
                <w:sz w:val="22"/>
                <w:szCs w:val="22"/>
              </w:rPr>
            </w:pPr>
            <w:r w:rsidRPr="00E41614">
              <w:rPr>
                <w:rFonts w:ascii="Calibri" w:hAnsi="Calibri"/>
                <w:b/>
                <w:bCs/>
                <w:sz w:val="22"/>
                <w:szCs w:val="22"/>
              </w:rPr>
              <w:t>Posebni interes RH</w:t>
            </w:r>
          </w:p>
        </w:tc>
        <w:tc>
          <w:tcPr>
            <w:tcW w:w="2866" w:type="dxa"/>
            <w:hideMark/>
          </w:tcPr>
          <w:p w14:paraId="3440252D" w14:textId="77777777" w:rsidR="00E41614" w:rsidRPr="00E41614" w:rsidRDefault="00E41614" w:rsidP="000830AF">
            <w:pPr>
              <w:jc w:val="center"/>
              <w:rPr>
                <w:rFonts w:ascii="Calibri" w:hAnsi="Calibri"/>
                <w:b/>
                <w:bCs/>
                <w:sz w:val="22"/>
                <w:szCs w:val="22"/>
              </w:rPr>
            </w:pPr>
            <w:r w:rsidRPr="00E41614">
              <w:rPr>
                <w:rFonts w:ascii="Calibri" w:hAnsi="Calibri"/>
                <w:b/>
                <w:bCs/>
                <w:sz w:val="22"/>
                <w:szCs w:val="22"/>
              </w:rPr>
              <w:t>Nadležna ustrojstvena jedinica u MMPI</w:t>
            </w:r>
          </w:p>
        </w:tc>
        <w:tc>
          <w:tcPr>
            <w:tcW w:w="3059" w:type="dxa"/>
            <w:hideMark/>
          </w:tcPr>
          <w:p w14:paraId="1BDF06F1" w14:textId="77777777" w:rsidR="00E41614" w:rsidRPr="00E41614" w:rsidRDefault="00E41614" w:rsidP="000830AF">
            <w:pPr>
              <w:jc w:val="center"/>
              <w:rPr>
                <w:rFonts w:ascii="Calibri" w:hAnsi="Calibri"/>
                <w:b/>
                <w:bCs/>
                <w:sz w:val="22"/>
                <w:szCs w:val="22"/>
              </w:rPr>
            </w:pPr>
            <w:r w:rsidRPr="00E41614">
              <w:rPr>
                <w:rFonts w:ascii="Calibri" w:hAnsi="Calibri"/>
                <w:b/>
                <w:bCs/>
                <w:sz w:val="22"/>
                <w:szCs w:val="22"/>
              </w:rPr>
              <w:t xml:space="preserve">Mrežna poveznica </w:t>
            </w:r>
            <w:r w:rsidRPr="00E41614">
              <w:rPr>
                <w:rFonts w:ascii="Calibri" w:hAnsi="Calibri"/>
                <w:b/>
                <w:bCs/>
                <w:sz w:val="22"/>
                <w:szCs w:val="22"/>
              </w:rPr>
              <w:br/>
              <w:t xml:space="preserve">na </w:t>
            </w:r>
            <w:r w:rsidRPr="00E41614">
              <w:rPr>
                <w:rFonts w:ascii="Calibri" w:hAnsi="Calibri"/>
                <w:b/>
                <w:bCs/>
                <w:sz w:val="22"/>
                <w:szCs w:val="22"/>
              </w:rPr>
              <w:br/>
              <w:t>izvještaj o radu/financijski izvještaj</w:t>
            </w:r>
          </w:p>
        </w:tc>
      </w:tr>
      <w:tr w:rsidR="00E41614" w:rsidRPr="00E41614" w14:paraId="1543E1D2" w14:textId="77777777" w:rsidTr="000830AF">
        <w:trPr>
          <w:trHeight w:val="495"/>
        </w:trPr>
        <w:tc>
          <w:tcPr>
            <w:tcW w:w="18615" w:type="dxa"/>
            <w:gridSpan w:val="9"/>
            <w:noWrap/>
            <w:hideMark/>
          </w:tcPr>
          <w:p w14:paraId="404ACAD7" w14:textId="77777777" w:rsidR="00E41614" w:rsidRPr="00E41614" w:rsidRDefault="00E41614">
            <w:pPr>
              <w:rPr>
                <w:rFonts w:ascii="Calibri" w:hAnsi="Calibri"/>
                <w:b/>
                <w:bCs/>
                <w:sz w:val="22"/>
                <w:szCs w:val="22"/>
              </w:rPr>
            </w:pPr>
            <w:r w:rsidRPr="00E41614">
              <w:rPr>
                <w:rFonts w:ascii="Calibri" w:hAnsi="Calibri"/>
                <w:b/>
                <w:bCs/>
                <w:sz w:val="22"/>
                <w:szCs w:val="22"/>
              </w:rPr>
              <w:t>Proračunski korisnici</w:t>
            </w:r>
          </w:p>
        </w:tc>
        <w:tc>
          <w:tcPr>
            <w:tcW w:w="3059" w:type="dxa"/>
            <w:noWrap/>
            <w:hideMark/>
          </w:tcPr>
          <w:p w14:paraId="10548375" w14:textId="77777777" w:rsidR="00E41614" w:rsidRPr="00E41614" w:rsidRDefault="00E41614">
            <w:pPr>
              <w:rPr>
                <w:rFonts w:ascii="Calibri" w:hAnsi="Calibri"/>
                <w:b/>
                <w:bCs/>
                <w:sz w:val="22"/>
                <w:szCs w:val="22"/>
              </w:rPr>
            </w:pPr>
            <w:r w:rsidRPr="00E41614">
              <w:rPr>
                <w:rFonts w:ascii="Calibri" w:hAnsi="Calibri"/>
                <w:b/>
                <w:bCs/>
                <w:sz w:val="22"/>
                <w:szCs w:val="22"/>
              </w:rPr>
              <w:t> </w:t>
            </w:r>
          </w:p>
        </w:tc>
      </w:tr>
      <w:tr w:rsidR="000830AF" w:rsidRPr="00E41614" w14:paraId="60BA679A" w14:textId="77777777" w:rsidTr="000830AF">
        <w:trPr>
          <w:trHeight w:val="979"/>
        </w:trPr>
        <w:tc>
          <w:tcPr>
            <w:tcW w:w="610" w:type="dxa"/>
            <w:hideMark/>
          </w:tcPr>
          <w:p w14:paraId="683ADF3F" w14:textId="6DC624CC" w:rsidR="00E41614" w:rsidRPr="00E41614" w:rsidRDefault="00E41614" w:rsidP="00E41614">
            <w:pPr>
              <w:rPr>
                <w:rFonts w:ascii="Calibri" w:hAnsi="Calibri"/>
                <w:sz w:val="22"/>
                <w:szCs w:val="22"/>
              </w:rPr>
            </w:pPr>
            <w:r w:rsidRPr="00E41614">
              <w:rPr>
                <w:rFonts w:ascii="Calibri" w:hAnsi="Calibri"/>
                <w:sz w:val="22"/>
                <w:szCs w:val="22"/>
              </w:rPr>
              <w:t>1</w:t>
            </w:r>
            <w:r w:rsidR="002A59D8">
              <w:rPr>
                <w:rFonts w:ascii="Calibri" w:hAnsi="Calibri"/>
                <w:sz w:val="22"/>
                <w:szCs w:val="22"/>
              </w:rPr>
              <w:t>.</w:t>
            </w:r>
          </w:p>
        </w:tc>
        <w:tc>
          <w:tcPr>
            <w:tcW w:w="3670" w:type="dxa"/>
            <w:hideMark/>
          </w:tcPr>
          <w:p w14:paraId="3593694D" w14:textId="77777777" w:rsidR="00E41614" w:rsidRPr="00E41614" w:rsidRDefault="00E41614">
            <w:pPr>
              <w:rPr>
                <w:rFonts w:ascii="Calibri" w:hAnsi="Calibri"/>
                <w:sz w:val="22"/>
                <w:szCs w:val="22"/>
              </w:rPr>
            </w:pPr>
            <w:r w:rsidRPr="00E41614">
              <w:rPr>
                <w:rFonts w:ascii="Calibri" w:hAnsi="Calibri"/>
                <w:sz w:val="22"/>
                <w:szCs w:val="22"/>
              </w:rPr>
              <w:t>Agencija za istraživanje nesreća u zračnom, pomorskom i željezničkom prometu</w:t>
            </w:r>
          </w:p>
        </w:tc>
        <w:tc>
          <w:tcPr>
            <w:tcW w:w="3418" w:type="dxa"/>
            <w:hideMark/>
          </w:tcPr>
          <w:p w14:paraId="733B7AA6" w14:textId="77777777" w:rsidR="00E41614" w:rsidRPr="00E41614" w:rsidRDefault="00E41614">
            <w:pPr>
              <w:rPr>
                <w:rFonts w:ascii="Calibri" w:hAnsi="Calibri"/>
                <w:sz w:val="22"/>
                <w:szCs w:val="22"/>
              </w:rPr>
            </w:pPr>
            <w:r w:rsidRPr="00E41614">
              <w:rPr>
                <w:rFonts w:ascii="Calibri" w:hAnsi="Calibri"/>
                <w:sz w:val="22"/>
                <w:szCs w:val="22"/>
              </w:rPr>
              <w:t>Radnička cesta 177, Zagreb</w:t>
            </w:r>
          </w:p>
        </w:tc>
        <w:tc>
          <w:tcPr>
            <w:tcW w:w="1653" w:type="dxa"/>
            <w:hideMark/>
          </w:tcPr>
          <w:p w14:paraId="4BDD1DAD" w14:textId="77777777" w:rsidR="00E41614" w:rsidRPr="00E41614" w:rsidRDefault="00E41614" w:rsidP="00E41614">
            <w:pPr>
              <w:rPr>
                <w:rFonts w:ascii="Calibri" w:hAnsi="Calibri"/>
                <w:sz w:val="22"/>
                <w:szCs w:val="22"/>
              </w:rPr>
            </w:pPr>
            <w:r w:rsidRPr="00E41614">
              <w:rPr>
                <w:rFonts w:ascii="Calibri" w:hAnsi="Calibri"/>
                <w:sz w:val="22"/>
                <w:szCs w:val="22"/>
              </w:rPr>
              <w:t>40956403978</w:t>
            </w:r>
          </w:p>
        </w:tc>
        <w:tc>
          <w:tcPr>
            <w:tcW w:w="1014" w:type="dxa"/>
            <w:hideMark/>
          </w:tcPr>
          <w:p w14:paraId="7CC85AEC" w14:textId="77777777" w:rsidR="00E41614" w:rsidRPr="00E41614" w:rsidRDefault="00E41614" w:rsidP="00E41614">
            <w:pPr>
              <w:rPr>
                <w:rFonts w:ascii="Calibri" w:hAnsi="Calibri"/>
                <w:sz w:val="22"/>
                <w:szCs w:val="22"/>
              </w:rPr>
            </w:pPr>
            <w:r w:rsidRPr="00E41614">
              <w:rPr>
                <w:rFonts w:ascii="Calibri" w:hAnsi="Calibri"/>
                <w:sz w:val="22"/>
                <w:szCs w:val="22"/>
              </w:rPr>
              <w:t>ustanova</w:t>
            </w:r>
          </w:p>
        </w:tc>
        <w:tc>
          <w:tcPr>
            <w:tcW w:w="2322" w:type="dxa"/>
            <w:hideMark/>
          </w:tcPr>
          <w:p w14:paraId="2D551136" w14:textId="77777777" w:rsidR="00E41614" w:rsidRPr="00E41614" w:rsidRDefault="00E41614">
            <w:pPr>
              <w:rPr>
                <w:rFonts w:ascii="Calibri" w:hAnsi="Calibri"/>
                <w:sz w:val="22"/>
                <w:szCs w:val="22"/>
              </w:rPr>
            </w:pPr>
            <w:r w:rsidRPr="00E41614">
              <w:rPr>
                <w:rFonts w:ascii="Calibri" w:hAnsi="Calibri"/>
                <w:sz w:val="22"/>
                <w:szCs w:val="22"/>
              </w:rPr>
              <w:t>Republika Hrvatska</w:t>
            </w:r>
          </w:p>
        </w:tc>
        <w:tc>
          <w:tcPr>
            <w:tcW w:w="1603" w:type="dxa"/>
            <w:hideMark/>
          </w:tcPr>
          <w:p w14:paraId="338219A9"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1459" w:type="dxa"/>
            <w:hideMark/>
          </w:tcPr>
          <w:p w14:paraId="211F4874" w14:textId="77777777" w:rsidR="00E41614" w:rsidRPr="00E41614" w:rsidRDefault="00E41614" w:rsidP="00F667BE">
            <w:pPr>
              <w:jc w:val="center"/>
              <w:rPr>
                <w:rFonts w:ascii="Calibri" w:hAnsi="Calibri"/>
                <w:sz w:val="22"/>
                <w:szCs w:val="22"/>
              </w:rPr>
            </w:pPr>
            <w:r w:rsidRPr="00E41614">
              <w:rPr>
                <w:rFonts w:ascii="Calibri" w:hAnsi="Calibri"/>
                <w:sz w:val="22"/>
                <w:szCs w:val="22"/>
              </w:rPr>
              <w:t>ne</w:t>
            </w:r>
          </w:p>
        </w:tc>
        <w:tc>
          <w:tcPr>
            <w:tcW w:w="2866" w:type="dxa"/>
            <w:hideMark/>
          </w:tcPr>
          <w:p w14:paraId="482B5EBC" w14:textId="77777777" w:rsidR="00E41614" w:rsidRPr="00E41614" w:rsidRDefault="00E41614">
            <w:pPr>
              <w:rPr>
                <w:rFonts w:ascii="Calibri" w:hAnsi="Calibri"/>
                <w:sz w:val="22"/>
                <w:szCs w:val="22"/>
              </w:rPr>
            </w:pPr>
            <w:r w:rsidRPr="00E41614">
              <w:rPr>
                <w:rFonts w:ascii="Calibri" w:hAnsi="Calibri"/>
                <w:sz w:val="22"/>
                <w:szCs w:val="22"/>
              </w:rPr>
              <w:t>Uprava zračnog prometa, elektroničkih komunikacija i pošte</w:t>
            </w:r>
          </w:p>
        </w:tc>
        <w:tc>
          <w:tcPr>
            <w:tcW w:w="3059" w:type="dxa"/>
            <w:hideMark/>
          </w:tcPr>
          <w:p w14:paraId="42DE2EE9" w14:textId="77777777" w:rsidR="00E41614" w:rsidRPr="00E41614" w:rsidRDefault="0074387A">
            <w:pPr>
              <w:rPr>
                <w:rFonts w:ascii="Calibri" w:hAnsi="Calibri"/>
                <w:sz w:val="22"/>
                <w:szCs w:val="22"/>
                <w:u w:val="single"/>
              </w:rPr>
            </w:pPr>
            <w:hyperlink r:id="rId15" w:history="1">
              <w:r w:rsidR="00E41614" w:rsidRPr="00E41614">
                <w:rPr>
                  <w:rStyle w:val="Hiperveza"/>
                  <w:rFonts w:ascii="Calibri" w:hAnsi="Calibri"/>
                  <w:sz w:val="22"/>
                  <w:szCs w:val="22"/>
                </w:rPr>
                <w:t>AIN - Godišnje izvješće o radu</w:t>
              </w:r>
            </w:hyperlink>
          </w:p>
        </w:tc>
      </w:tr>
      <w:tr w:rsidR="000830AF" w:rsidRPr="00E41614" w14:paraId="3EA26992" w14:textId="77777777" w:rsidTr="000830AF">
        <w:trPr>
          <w:trHeight w:val="619"/>
        </w:trPr>
        <w:tc>
          <w:tcPr>
            <w:tcW w:w="610" w:type="dxa"/>
            <w:hideMark/>
          </w:tcPr>
          <w:p w14:paraId="6A25594E" w14:textId="11794496" w:rsidR="00E41614" w:rsidRPr="00E41614" w:rsidRDefault="00E41614" w:rsidP="00E41614">
            <w:pPr>
              <w:rPr>
                <w:rFonts w:ascii="Calibri" w:hAnsi="Calibri"/>
                <w:sz w:val="22"/>
                <w:szCs w:val="22"/>
              </w:rPr>
            </w:pPr>
            <w:r w:rsidRPr="00E41614">
              <w:rPr>
                <w:rFonts w:ascii="Calibri" w:hAnsi="Calibri"/>
                <w:sz w:val="22"/>
                <w:szCs w:val="22"/>
              </w:rPr>
              <w:t>2</w:t>
            </w:r>
            <w:r w:rsidR="002A59D8">
              <w:rPr>
                <w:rFonts w:ascii="Calibri" w:hAnsi="Calibri"/>
                <w:sz w:val="22"/>
                <w:szCs w:val="22"/>
              </w:rPr>
              <w:t>.</w:t>
            </w:r>
          </w:p>
        </w:tc>
        <w:tc>
          <w:tcPr>
            <w:tcW w:w="3670" w:type="dxa"/>
            <w:hideMark/>
          </w:tcPr>
          <w:p w14:paraId="35E007C9" w14:textId="77777777" w:rsidR="00E41614" w:rsidRPr="00E41614" w:rsidRDefault="00E41614">
            <w:pPr>
              <w:rPr>
                <w:rFonts w:ascii="Calibri" w:hAnsi="Calibri"/>
                <w:sz w:val="22"/>
                <w:szCs w:val="22"/>
              </w:rPr>
            </w:pPr>
            <w:r w:rsidRPr="00E41614">
              <w:rPr>
                <w:rFonts w:ascii="Calibri" w:hAnsi="Calibri"/>
                <w:sz w:val="22"/>
                <w:szCs w:val="22"/>
              </w:rPr>
              <w:t>Agencija za obalni linijski pomorski promet</w:t>
            </w:r>
          </w:p>
        </w:tc>
        <w:tc>
          <w:tcPr>
            <w:tcW w:w="3418" w:type="dxa"/>
            <w:hideMark/>
          </w:tcPr>
          <w:p w14:paraId="6E978CEC" w14:textId="77777777" w:rsidR="00E41614" w:rsidRPr="00E41614" w:rsidRDefault="00E41614">
            <w:pPr>
              <w:rPr>
                <w:rFonts w:ascii="Calibri" w:hAnsi="Calibri"/>
                <w:sz w:val="22"/>
                <w:szCs w:val="22"/>
              </w:rPr>
            </w:pPr>
            <w:proofErr w:type="spellStart"/>
            <w:r w:rsidRPr="00E41614">
              <w:rPr>
                <w:rFonts w:ascii="Calibri" w:hAnsi="Calibri"/>
                <w:sz w:val="22"/>
                <w:szCs w:val="22"/>
              </w:rPr>
              <w:t>Antofagaste</w:t>
            </w:r>
            <w:proofErr w:type="spellEnd"/>
            <w:r w:rsidRPr="00E41614">
              <w:rPr>
                <w:rFonts w:ascii="Calibri" w:hAnsi="Calibri"/>
                <w:sz w:val="22"/>
                <w:szCs w:val="22"/>
              </w:rPr>
              <w:t xml:space="preserve"> 6, Split</w:t>
            </w:r>
          </w:p>
        </w:tc>
        <w:tc>
          <w:tcPr>
            <w:tcW w:w="1653" w:type="dxa"/>
            <w:hideMark/>
          </w:tcPr>
          <w:p w14:paraId="470630F2" w14:textId="77777777" w:rsidR="00E41614" w:rsidRPr="00E41614" w:rsidRDefault="00E41614" w:rsidP="00E41614">
            <w:pPr>
              <w:rPr>
                <w:rFonts w:ascii="Calibri" w:hAnsi="Calibri"/>
                <w:sz w:val="22"/>
                <w:szCs w:val="22"/>
              </w:rPr>
            </w:pPr>
            <w:r w:rsidRPr="00E41614">
              <w:rPr>
                <w:rFonts w:ascii="Calibri" w:hAnsi="Calibri"/>
                <w:sz w:val="22"/>
                <w:szCs w:val="22"/>
              </w:rPr>
              <w:t>27735395987</w:t>
            </w:r>
          </w:p>
        </w:tc>
        <w:tc>
          <w:tcPr>
            <w:tcW w:w="1014" w:type="dxa"/>
            <w:hideMark/>
          </w:tcPr>
          <w:p w14:paraId="53908D74" w14:textId="77777777" w:rsidR="00E41614" w:rsidRPr="00E41614" w:rsidRDefault="00E41614" w:rsidP="00E41614">
            <w:pPr>
              <w:rPr>
                <w:rFonts w:ascii="Calibri" w:hAnsi="Calibri"/>
                <w:sz w:val="22"/>
                <w:szCs w:val="22"/>
              </w:rPr>
            </w:pPr>
            <w:r w:rsidRPr="00E41614">
              <w:rPr>
                <w:rFonts w:ascii="Calibri" w:hAnsi="Calibri"/>
                <w:sz w:val="22"/>
                <w:szCs w:val="22"/>
              </w:rPr>
              <w:t>ustanova</w:t>
            </w:r>
          </w:p>
        </w:tc>
        <w:tc>
          <w:tcPr>
            <w:tcW w:w="2322" w:type="dxa"/>
            <w:hideMark/>
          </w:tcPr>
          <w:p w14:paraId="6B8F774D" w14:textId="77777777" w:rsidR="00E41614" w:rsidRPr="00E41614" w:rsidRDefault="00E41614">
            <w:pPr>
              <w:rPr>
                <w:rFonts w:ascii="Calibri" w:hAnsi="Calibri"/>
                <w:sz w:val="22"/>
                <w:szCs w:val="22"/>
              </w:rPr>
            </w:pPr>
            <w:r w:rsidRPr="00E41614">
              <w:rPr>
                <w:rFonts w:ascii="Calibri" w:hAnsi="Calibri"/>
                <w:sz w:val="22"/>
                <w:szCs w:val="22"/>
              </w:rPr>
              <w:t>Republika Hrvatska</w:t>
            </w:r>
          </w:p>
        </w:tc>
        <w:tc>
          <w:tcPr>
            <w:tcW w:w="1603" w:type="dxa"/>
            <w:hideMark/>
          </w:tcPr>
          <w:p w14:paraId="79E0AED8"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1459" w:type="dxa"/>
            <w:hideMark/>
          </w:tcPr>
          <w:p w14:paraId="3BA087A2" w14:textId="77777777" w:rsidR="00E41614" w:rsidRPr="00E41614" w:rsidRDefault="00E41614" w:rsidP="00F667BE">
            <w:pPr>
              <w:jc w:val="center"/>
              <w:rPr>
                <w:rFonts w:ascii="Calibri" w:hAnsi="Calibri"/>
                <w:sz w:val="22"/>
                <w:szCs w:val="22"/>
              </w:rPr>
            </w:pPr>
            <w:r w:rsidRPr="00E41614">
              <w:rPr>
                <w:rFonts w:ascii="Calibri" w:hAnsi="Calibri"/>
                <w:sz w:val="22"/>
                <w:szCs w:val="22"/>
              </w:rPr>
              <w:t>ne</w:t>
            </w:r>
          </w:p>
        </w:tc>
        <w:tc>
          <w:tcPr>
            <w:tcW w:w="2866" w:type="dxa"/>
            <w:hideMark/>
          </w:tcPr>
          <w:p w14:paraId="188032BD" w14:textId="77777777" w:rsidR="00E41614" w:rsidRPr="00E41614" w:rsidRDefault="00E41614">
            <w:pPr>
              <w:rPr>
                <w:rFonts w:ascii="Calibri" w:hAnsi="Calibri"/>
                <w:sz w:val="22"/>
                <w:szCs w:val="22"/>
              </w:rPr>
            </w:pPr>
            <w:r w:rsidRPr="00E41614">
              <w:rPr>
                <w:rFonts w:ascii="Calibri" w:hAnsi="Calibri"/>
                <w:sz w:val="22"/>
                <w:szCs w:val="22"/>
              </w:rPr>
              <w:t>Uprava pomorstva</w:t>
            </w:r>
          </w:p>
        </w:tc>
        <w:tc>
          <w:tcPr>
            <w:tcW w:w="3059" w:type="dxa"/>
            <w:hideMark/>
          </w:tcPr>
          <w:p w14:paraId="09272AD2" w14:textId="77777777" w:rsidR="00E41614" w:rsidRPr="00E41614" w:rsidRDefault="0074387A">
            <w:pPr>
              <w:rPr>
                <w:rFonts w:ascii="Calibri" w:hAnsi="Calibri"/>
                <w:sz w:val="22"/>
                <w:szCs w:val="22"/>
                <w:u w:val="single"/>
              </w:rPr>
            </w:pPr>
            <w:hyperlink r:id="rId16" w:history="1">
              <w:proofErr w:type="spellStart"/>
              <w:r w:rsidR="00E41614" w:rsidRPr="00E41614">
                <w:rPr>
                  <w:rStyle w:val="Hiperveza"/>
                  <w:rFonts w:ascii="Calibri" w:hAnsi="Calibri"/>
                  <w:sz w:val="22"/>
                  <w:szCs w:val="22"/>
                </w:rPr>
                <w:t>Agencija_ZOLPP</w:t>
              </w:r>
              <w:proofErr w:type="spellEnd"/>
              <w:r w:rsidR="00E41614" w:rsidRPr="00E41614">
                <w:rPr>
                  <w:rStyle w:val="Hiperveza"/>
                  <w:rFonts w:ascii="Calibri" w:hAnsi="Calibri"/>
                  <w:sz w:val="22"/>
                  <w:szCs w:val="22"/>
                </w:rPr>
                <w:t xml:space="preserve"> - Godišnje izvješće o radu</w:t>
              </w:r>
            </w:hyperlink>
          </w:p>
        </w:tc>
      </w:tr>
      <w:tr w:rsidR="000830AF" w:rsidRPr="00E41614" w14:paraId="266B18B6" w14:textId="77777777" w:rsidTr="000830AF">
        <w:trPr>
          <w:trHeight w:val="619"/>
        </w:trPr>
        <w:tc>
          <w:tcPr>
            <w:tcW w:w="610" w:type="dxa"/>
            <w:hideMark/>
          </w:tcPr>
          <w:p w14:paraId="77B8D11D" w14:textId="2D6DB46A" w:rsidR="00E41614" w:rsidRPr="00E41614" w:rsidRDefault="00E41614" w:rsidP="00E41614">
            <w:pPr>
              <w:rPr>
                <w:rFonts w:ascii="Calibri" w:hAnsi="Calibri"/>
                <w:sz w:val="22"/>
                <w:szCs w:val="22"/>
              </w:rPr>
            </w:pPr>
            <w:r w:rsidRPr="00E41614">
              <w:rPr>
                <w:rFonts w:ascii="Calibri" w:hAnsi="Calibri"/>
                <w:sz w:val="22"/>
                <w:szCs w:val="22"/>
              </w:rPr>
              <w:t>3</w:t>
            </w:r>
            <w:r w:rsidR="002A59D8">
              <w:rPr>
                <w:rFonts w:ascii="Calibri" w:hAnsi="Calibri"/>
                <w:sz w:val="22"/>
                <w:szCs w:val="22"/>
              </w:rPr>
              <w:t>.</w:t>
            </w:r>
          </w:p>
        </w:tc>
        <w:tc>
          <w:tcPr>
            <w:tcW w:w="3670" w:type="dxa"/>
            <w:hideMark/>
          </w:tcPr>
          <w:p w14:paraId="083B45E4" w14:textId="77777777" w:rsidR="00E41614" w:rsidRPr="00E41614" w:rsidRDefault="00E41614">
            <w:pPr>
              <w:rPr>
                <w:rFonts w:ascii="Calibri" w:hAnsi="Calibri"/>
                <w:sz w:val="22"/>
                <w:szCs w:val="22"/>
              </w:rPr>
            </w:pPr>
            <w:r w:rsidRPr="00E41614">
              <w:rPr>
                <w:rFonts w:ascii="Calibri" w:hAnsi="Calibri"/>
                <w:sz w:val="22"/>
                <w:szCs w:val="22"/>
              </w:rPr>
              <w:t>Agencija za sigurnost željezničkog prometa</w:t>
            </w:r>
          </w:p>
        </w:tc>
        <w:tc>
          <w:tcPr>
            <w:tcW w:w="3418" w:type="dxa"/>
            <w:hideMark/>
          </w:tcPr>
          <w:p w14:paraId="64F4F525" w14:textId="77777777" w:rsidR="00E41614" w:rsidRPr="00E41614" w:rsidRDefault="00E41614">
            <w:pPr>
              <w:rPr>
                <w:rFonts w:ascii="Calibri" w:hAnsi="Calibri"/>
                <w:sz w:val="22"/>
                <w:szCs w:val="22"/>
              </w:rPr>
            </w:pPr>
            <w:r w:rsidRPr="00E41614">
              <w:rPr>
                <w:rFonts w:ascii="Calibri" w:hAnsi="Calibri"/>
                <w:sz w:val="22"/>
                <w:szCs w:val="22"/>
              </w:rPr>
              <w:t>Radnička cesta 39, Zagreb</w:t>
            </w:r>
          </w:p>
        </w:tc>
        <w:tc>
          <w:tcPr>
            <w:tcW w:w="1653" w:type="dxa"/>
            <w:hideMark/>
          </w:tcPr>
          <w:p w14:paraId="246D8AEC" w14:textId="77777777" w:rsidR="00E41614" w:rsidRPr="00E41614" w:rsidRDefault="00E41614" w:rsidP="00E41614">
            <w:pPr>
              <w:rPr>
                <w:rFonts w:ascii="Calibri" w:hAnsi="Calibri"/>
                <w:sz w:val="22"/>
                <w:szCs w:val="22"/>
              </w:rPr>
            </w:pPr>
            <w:r w:rsidRPr="00E41614">
              <w:rPr>
                <w:rFonts w:ascii="Calibri" w:hAnsi="Calibri"/>
                <w:sz w:val="22"/>
                <w:szCs w:val="22"/>
              </w:rPr>
              <w:t>99256282044</w:t>
            </w:r>
          </w:p>
        </w:tc>
        <w:tc>
          <w:tcPr>
            <w:tcW w:w="1014" w:type="dxa"/>
            <w:hideMark/>
          </w:tcPr>
          <w:p w14:paraId="19774A97" w14:textId="77777777" w:rsidR="00E41614" w:rsidRPr="00E41614" w:rsidRDefault="00E41614" w:rsidP="00E41614">
            <w:pPr>
              <w:rPr>
                <w:rFonts w:ascii="Calibri" w:hAnsi="Calibri"/>
                <w:sz w:val="22"/>
                <w:szCs w:val="22"/>
              </w:rPr>
            </w:pPr>
            <w:r w:rsidRPr="00E41614">
              <w:rPr>
                <w:rFonts w:ascii="Calibri" w:hAnsi="Calibri"/>
                <w:sz w:val="22"/>
                <w:szCs w:val="22"/>
              </w:rPr>
              <w:t>ustanova</w:t>
            </w:r>
          </w:p>
        </w:tc>
        <w:tc>
          <w:tcPr>
            <w:tcW w:w="2322" w:type="dxa"/>
            <w:hideMark/>
          </w:tcPr>
          <w:p w14:paraId="107547F1" w14:textId="77777777" w:rsidR="00E41614" w:rsidRPr="00E41614" w:rsidRDefault="00E41614">
            <w:pPr>
              <w:rPr>
                <w:rFonts w:ascii="Calibri" w:hAnsi="Calibri"/>
                <w:sz w:val="22"/>
                <w:szCs w:val="22"/>
              </w:rPr>
            </w:pPr>
            <w:r w:rsidRPr="00E41614">
              <w:rPr>
                <w:rFonts w:ascii="Calibri" w:hAnsi="Calibri"/>
                <w:sz w:val="22"/>
                <w:szCs w:val="22"/>
              </w:rPr>
              <w:t>Republika Hrvatska</w:t>
            </w:r>
          </w:p>
        </w:tc>
        <w:tc>
          <w:tcPr>
            <w:tcW w:w="1603" w:type="dxa"/>
            <w:hideMark/>
          </w:tcPr>
          <w:p w14:paraId="7E55AE28"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1459" w:type="dxa"/>
            <w:hideMark/>
          </w:tcPr>
          <w:p w14:paraId="38072AEB" w14:textId="77777777" w:rsidR="00E41614" w:rsidRPr="00E41614" w:rsidRDefault="00E41614" w:rsidP="00F667BE">
            <w:pPr>
              <w:jc w:val="center"/>
              <w:rPr>
                <w:rFonts w:ascii="Calibri" w:hAnsi="Calibri"/>
                <w:sz w:val="22"/>
                <w:szCs w:val="22"/>
              </w:rPr>
            </w:pPr>
            <w:r w:rsidRPr="00E41614">
              <w:rPr>
                <w:rFonts w:ascii="Calibri" w:hAnsi="Calibri"/>
                <w:sz w:val="22"/>
                <w:szCs w:val="22"/>
              </w:rPr>
              <w:t>ne</w:t>
            </w:r>
          </w:p>
        </w:tc>
        <w:tc>
          <w:tcPr>
            <w:tcW w:w="2866" w:type="dxa"/>
            <w:hideMark/>
          </w:tcPr>
          <w:p w14:paraId="060652EA" w14:textId="77777777" w:rsidR="00E41614" w:rsidRPr="00E41614" w:rsidRDefault="00E41614">
            <w:pPr>
              <w:rPr>
                <w:rFonts w:ascii="Calibri" w:hAnsi="Calibri"/>
                <w:sz w:val="22"/>
                <w:szCs w:val="22"/>
              </w:rPr>
            </w:pPr>
            <w:r w:rsidRPr="00E41614">
              <w:rPr>
                <w:rFonts w:ascii="Calibri" w:hAnsi="Calibri"/>
                <w:sz w:val="22"/>
                <w:szCs w:val="22"/>
              </w:rPr>
              <w:t>Uprava za željezničku infrastrukturu i promet</w:t>
            </w:r>
          </w:p>
        </w:tc>
        <w:tc>
          <w:tcPr>
            <w:tcW w:w="3059" w:type="dxa"/>
            <w:hideMark/>
          </w:tcPr>
          <w:p w14:paraId="3BA790CF" w14:textId="77777777" w:rsidR="00E41614" w:rsidRPr="00E41614" w:rsidRDefault="0074387A">
            <w:pPr>
              <w:rPr>
                <w:rFonts w:ascii="Calibri" w:hAnsi="Calibri"/>
                <w:sz w:val="22"/>
                <w:szCs w:val="22"/>
                <w:u w:val="single"/>
              </w:rPr>
            </w:pPr>
            <w:hyperlink r:id="rId17" w:history="1">
              <w:r w:rsidR="00E41614" w:rsidRPr="00E41614">
                <w:rPr>
                  <w:rStyle w:val="Hiperveza"/>
                  <w:rFonts w:ascii="Calibri" w:hAnsi="Calibri"/>
                  <w:sz w:val="22"/>
                  <w:szCs w:val="22"/>
                </w:rPr>
                <w:t>ASŽ - Godišnje izvješće o radu</w:t>
              </w:r>
            </w:hyperlink>
          </w:p>
        </w:tc>
      </w:tr>
      <w:tr w:rsidR="000830AF" w:rsidRPr="00E41614" w14:paraId="7DEB7B0B" w14:textId="77777777" w:rsidTr="000830AF">
        <w:trPr>
          <w:trHeight w:val="975"/>
        </w:trPr>
        <w:tc>
          <w:tcPr>
            <w:tcW w:w="610" w:type="dxa"/>
            <w:hideMark/>
          </w:tcPr>
          <w:p w14:paraId="759FCAD7" w14:textId="600107A6" w:rsidR="00E41614" w:rsidRPr="00E41614" w:rsidRDefault="00E41614" w:rsidP="00E41614">
            <w:pPr>
              <w:rPr>
                <w:rFonts w:ascii="Calibri" w:hAnsi="Calibri"/>
                <w:sz w:val="22"/>
                <w:szCs w:val="22"/>
              </w:rPr>
            </w:pPr>
            <w:r w:rsidRPr="00E41614">
              <w:rPr>
                <w:rFonts w:ascii="Calibri" w:hAnsi="Calibri"/>
                <w:sz w:val="22"/>
                <w:szCs w:val="22"/>
              </w:rPr>
              <w:t>4</w:t>
            </w:r>
            <w:r w:rsidR="002A59D8">
              <w:rPr>
                <w:rFonts w:ascii="Calibri" w:hAnsi="Calibri"/>
                <w:sz w:val="22"/>
                <w:szCs w:val="22"/>
              </w:rPr>
              <w:t>.</w:t>
            </w:r>
          </w:p>
        </w:tc>
        <w:tc>
          <w:tcPr>
            <w:tcW w:w="3670" w:type="dxa"/>
            <w:hideMark/>
          </w:tcPr>
          <w:p w14:paraId="0E359A50" w14:textId="77777777" w:rsidR="00E41614" w:rsidRPr="00E41614" w:rsidRDefault="00E41614">
            <w:pPr>
              <w:rPr>
                <w:rFonts w:ascii="Calibri" w:hAnsi="Calibri"/>
                <w:sz w:val="22"/>
                <w:szCs w:val="22"/>
              </w:rPr>
            </w:pPr>
            <w:r w:rsidRPr="00E41614">
              <w:rPr>
                <w:rFonts w:ascii="Calibri" w:hAnsi="Calibri"/>
                <w:sz w:val="22"/>
                <w:szCs w:val="22"/>
              </w:rPr>
              <w:t>Hrvatska agencija za civilno zrakoplovstvo</w:t>
            </w:r>
          </w:p>
        </w:tc>
        <w:tc>
          <w:tcPr>
            <w:tcW w:w="3418" w:type="dxa"/>
            <w:hideMark/>
          </w:tcPr>
          <w:p w14:paraId="396D9A72" w14:textId="77777777" w:rsidR="00E41614" w:rsidRPr="00E41614" w:rsidRDefault="00E41614">
            <w:pPr>
              <w:rPr>
                <w:rFonts w:ascii="Calibri" w:hAnsi="Calibri"/>
                <w:sz w:val="22"/>
                <w:szCs w:val="22"/>
              </w:rPr>
            </w:pPr>
            <w:r w:rsidRPr="00E41614">
              <w:rPr>
                <w:rFonts w:ascii="Calibri" w:hAnsi="Calibri"/>
                <w:sz w:val="22"/>
                <w:szCs w:val="22"/>
              </w:rPr>
              <w:t>Ulica grada Vukovara 284, Zagreb</w:t>
            </w:r>
          </w:p>
        </w:tc>
        <w:tc>
          <w:tcPr>
            <w:tcW w:w="1653" w:type="dxa"/>
            <w:hideMark/>
          </w:tcPr>
          <w:p w14:paraId="3CCAE7C6" w14:textId="77777777" w:rsidR="00E41614" w:rsidRPr="00E41614" w:rsidRDefault="00E41614" w:rsidP="00E41614">
            <w:pPr>
              <w:rPr>
                <w:rFonts w:ascii="Calibri" w:hAnsi="Calibri"/>
                <w:sz w:val="22"/>
                <w:szCs w:val="22"/>
              </w:rPr>
            </w:pPr>
            <w:r w:rsidRPr="00E41614">
              <w:rPr>
                <w:rFonts w:ascii="Calibri" w:hAnsi="Calibri"/>
                <w:sz w:val="22"/>
                <w:szCs w:val="22"/>
              </w:rPr>
              <w:t>76108805525</w:t>
            </w:r>
          </w:p>
        </w:tc>
        <w:tc>
          <w:tcPr>
            <w:tcW w:w="1014" w:type="dxa"/>
            <w:hideMark/>
          </w:tcPr>
          <w:p w14:paraId="4F2A6108" w14:textId="77777777" w:rsidR="00E41614" w:rsidRPr="00E41614" w:rsidRDefault="00E41614" w:rsidP="00E41614">
            <w:pPr>
              <w:rPr>
                <w:rFonts w:ascii="Calibri" w:hAnsi="Calibri"/>
                <w:sz w:val="22"/>
                <w:szCs w:val="22"/>
              </w:rPr>
            </w:pPr>
            <w:r w:rsidRPr="00E41614">
              <w:rPr>
                <w:rFonts w:ascii="Calibri" w:hAnsi="Calibri"/>
                <w:sz w:val="22"/>
                <w:szCs w:val="22"/>
              </w:rPr>
              <w:t>ustanova</w:t>
            </w:r>
          </w:p>
        </w:tc>
        <w:tc>
          <w:tcPr>
            <w:tcW w:w="2322" w:type="dxa"/>
            <w:hideMark/>
          </w:tcPr>
          <w:p w14:paraId="27D96266" w14:textId="77777777" w:rsidR="00E41614" w:rsidRPr="00E41614" w:rsidRDefault="00E41614">
            <w:pPr>
              <w:rPr>
                <w:rFonts w:ascii="Calibri" w:hAnsi="Calibri"/>
                <w:sz w:val="22"/>
                <w:szCs w:val="22"/>
              </w:rPr>
            </w:pPr>
            <w:r w:rsidRPr="00E41614">
              <w:rPr>
                <w:rFonts w:ascii="Calibri" w:hAnsi="Calibri"/>
                <w:sz w:val="22"/>
                <w:szCs w:val="22"/>
              </w:rPr>
              <w:t>Republika Hrvatska</w:t>
            </w:r>
          </w:p>
        </w:tc>
        <w:tc>
          <w:tcPr>
            <w:tcW w:w="1603" w:type="dxa"/>
            <w:hideMark/>
          </w:tcPr>
          <w:p w14:paraId="59A0AB82"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1459" w:type="dxa"/>
            <w:hideMark/>
          </w:tcPr>
          <w:p w14:paraId="03E08CDF" w14:textId="77777777" w:rsidR="00E41614" w:rsidRPr="00E41614" w:rsidRDefault="00E41614" w:rsidP="00F667BE">
            <w:pPr>
              <w:jc w:val="center"/>
              <w:rPr>
                <w:rFonts w:ascii="Calibri" w:hAnsi="Calibri"/>
                <w:sz w:val="22"/>
                <w:szCs w:val="22"/>
              </w:rPr>
            </w:pPr>
            <w:r w:rsidRPr="00E41614">
              <w:rPr>
                <w:rFonts w:ascii="Calibri" w:hAnsi="Calibri"/>
                <w:sz w:val="22"/>
                <w:szCs w:val="22"/>
              </w:rPr>
              <w:t>ne</w:t>
            </w:r>
          </w:p>
        </w:tc>
        <w:tc>
          <w:tcPr>
            <w:tcW w:w="2866" w:type="dxa"/>
            <w:hideMark/>
          </w:tcPr>
          <w:p w14:paraId="5888F70A" w14:textId="77777777" w:rsidR="00E41614" w:rsidRPr="00E41614" w:rsidRDefault="00E41614">
            <w:pPr>
              <w:rPr>
                <w:rFonts w:ascii="Calibri" w:hAnsi="Calibri"/>
                <w:sz w:val="22"/>
                <w:szCs w:val="22"/>
              </w:rPr>
            </w:pPr>
            <w:r w:rsidRPr="00E41614">
              <w:rPr>
                <w:rFonts w:ascii="Calibri" w:hAnsi="Calibri"/>
                <w:sz w:val="22"/>
                <w:szCs w:val="22"/>
              </w:rPr>
              <w:t>Uprava zračnog prometa, elektroničkih komunikacija i pošte</w:t>
            </w:r>
          </w:p>
        </w:tc>
        <w:tc>
          <w:tcPr>
            <w:tcW w:w="3059" w:type="dxa"/>
            <w:hideMark/>
          </w:tcPr>
          <w:p w14:paraId="197A2509" w14:textId="77777777" w:rsidR="00E41614" w:rsidRPr="00E41614" w:rsidRDefault="0074387A">
            <w:pPr>
              <w:rPr>
                <w:rFonts w:ascii="Calibri" w:hAnsi="Calibri"/>
                <w:sz w:val="22"/>
                <w:szCs w:val="22"/>
                <w:u w:val="single"/>
              </w:rPr>
            </w:pPr>
            <w:hyperlink r:id="rId18" w:history="1">
              <w:r w:rsidR="00E41614" w:rsidRPr="00E41614">
                <w:rPr>
                  <w:rStyle w:val="Hiperveza"/>
                  <w:rFonts w:ascii="Calibri" w:hAnsi="Calibri"/>
                  <w:sz w:val="22"/>
                  <w:szCs w:val="22"/>
                </w:rPr>
                <w:t>CCAA-Godišnje izvješće o radu</w:t>
              </w:r>
            </w:hyperlink>
          </w:p>
        </w:tc>
      </w:tr>
      <w:tr w:rsidR="000830AF" w:rsidRPr="00E41614" w14:paraId="365A667C" w14:textId="77777777" w:rsidTr="000830AF">
        <w:trPr>
          <w:trHeight w:val="600"/>
        </w:trPr>
        <w:tc>
          <w:tcPr>
            <w:tcW w:w="610" w:type="dxa"/>
            <w:hideMark/>
          </w:tcPr>
          <w:p w14:paraId="4DDC5EB7" w14:textId="194A6151" w:rsidR="00E41614" w:rsidRPr="00E41614" w:rsidRDefault="00E41614" w:rsidP="00E41614">
            <w:pPr>
              <w:rPr>
                <w:rFonts w:ascii="Calibri" w:hAnsi="Calibri"/>
                <w:sz w:val="22"/>
                <w:szCs w:val="22"/>
              </w:rPr>
            </w:pPr>
            <w:r w:rsidRPr="00E41614">
              <w:rPr>
                <w:rFonts w:ascii="Calibri" w:hAnsi="Calibri"/>
                <w:sz w:val="22"/>
                <w:szCs w:val="22"/>
              </w:rPr>
              <w:t>5</w:t>
            </w:r>
            <w:r w:rsidR="002A59D8">
              <w:rPr>
                <w:rFonts w:ascii="Calibri" w:hAnsi="Calibri"/>
                <w:sz w:val="22"/>
                <w:szCs w:val="22"/>
              </w:rPr>
              <w:t>.</w:t>
            </w:r>
          </w:p>
        </w:tc>
        <w:tc>
          <w:tcPr>
            <w:tcW w:w="3670" w:type="dxa"/>
            <w:hideMark/>
          </w:tcPr>
          <w:p w14:paraId="1A2A66ED" w14:textId="77777777" w:rsidR="00E41614" w:rsidRPr="00E41614" w:rsidRDefault="00E41614">
            <w:pPr>
              <w:rPr>
                <w:rFonts w:ascii="Calibri" w:hAnsi="Calibri"/>
                <w:sz w:val="22"/>
                <w:szCs w:val="22"/>
              </w:rPr>
            </w:pPr>
            <w:r w:rsidRPr="00E41614">
              <w:rPr>
                <w:rFonts w:ascii="Calibri" w:hAnsi="Calibri"/>
                <w:sz w:val="22"/>
                <w:szCs w:val="22"/>
              </w:rPr>
              <w:t>Hrvatski hidrografski institut</w:t>
            </w:r>
          </w:p>
        </w:tc>
        <w:tc>
          <w:tcPr>
            <w:tcW w:w="3418" w:type="dxa"/>
            <w:hideMark/>
          </w:tcPr>
          <w:p w14:paraId="67BB60C5" w14:textId="77777777" w:rsidR="00E41614" w:rsidRPr="00E41614" w:rsidRDefault="00E41614">
            <w:pPr>
              <w:rPr>
                <w:rFonts w:ascii="Calibri" w:hAnsi="Calibri"/>
                <w:sz w:val="22"/>
                <w:szCs w:val="22"/>
              </w:rPr>
            </w:pPr>
            <w:r w:rsidRPr="00E41614">
              <w:rPr>
                <w:rFonts w:ascii="Calibri" w:hAnsi="Calibri"/>
                <w:sz w:val="22"/>
                <w:szCs w:val="22"/>
              </w:rPr>
              <w:t>Zrinsko-</w:t>
            </w:r>
            <w:proofErr w:type="spellStart"/>
            <w:r w:rsidRPr="00E41614">
              <w:rPr>
                <w:rFonts w:ascii="Calibri" w:hAnsi="Calibri"/>
                <w:sz w:val="22"/>
                <w:szCs w:val="22"/>
              </w:rPr>
              <w:t>Frankopanska</w:t>
            </w:r>
            <w:proofErr w:type="spellEnd"/>
            <w:r w:rsidRPr="00E41614">
              <w:rPr>
                <w:rFonts w:ascii="Calibri" w:hAnsi="Calibri"/>
                <w:sz w:val="22"/>
                <w:szCs w:val="22"/>
              </w:rPr>
              <w:t xml:space="preserve"> 161, Split</w:t>
            </w:r>
          </w:p>
        </w:tc>
        <w:tc>
          <w:tcPr>
            <w:tcW w:w="1653" w:type="dxa"/>
            <w:hideMark/>
          </w:tcPr>
          <w:p w14:paraId="1A7C5B22" w14:textId="77777777" w:rsidR="00E41614" w:rsidRPr="00E41614" w:rsidRDefault="00E41614" w:rsidP="00E41614">
            <w:pPr>
              <w:rPr>
                <w:rFonts w:ascii="Calibri" w:hAnsi="Calibri"/>
                <w:sz w:val="22"/>
                <w:szCs w:val="22"/>
              </w:rPr>
            </w:pPr>
            <w:r w:rsidRPr="00E41614">
              <w:rPr>
                <w:rFonts w:ascii="Calibri" w:hAnsi="Calibri"/>
                <w:sz w:val="22"/>
                <w:szCs w:val="22"/>
              </w:rPr>
              <w:t>51867618130</w:t>
            </w:r>
          </w:p>
        </w:tc>
        <w:tc>
          <w:tcPr>
            <w:tcW w:w="1014" w:type="dxa"/>
            <w:hideMark/>
          </w:tcPr>
          <w:p w14:paraId="2FC0DA9B" w14:textId="77777777" w:rsidR="00E41614" w:rsidRPr="00E41614" w:rsidRDefault="00E41614" w:rsidP="00E41614">
            <w:pPr>
              <w:rPr>
                <w:rFonts w:ascii="Calibri" w:hAnsi="Calibri"/>
                <w:sz w:val="22"/>
                <w:szCs w:val="22"/>
              </w:rPr>
            </w:pPr>
            <w:r w:rsidRPr="00E41614">
              <w:rPr>
                <w:rFonts w:ascii="Calibri" w:hAnsi="Calibri"/>
                <w:sz w:val="22"/>
                <w:szCs w:val="22"/>
              </w:rPr>
              <w:t>ustanova</w:t>
            </w:r>
          </w:p>
        </w:tc>
        <w:tc>
          <w:tcPr>
            <w:tcW w:w="2322" w:type="dxa"/>
            <w:hideMark/>
          </w:tcPr>
          <w:p w14:paraId="148F2914" w14:textId="77777777" w:rsidR="00E41614" w:rsidRPr="00E41614" w:rsidRDefault="00E41614">
            <w:pPr>
              <w:rPr>
                <w:rFonts w:ascii="Calibri" w:hAnsi="Calibri"/>
                <w:sz w:val="22"/>
                <w:szCs w:val="22"/>
              </w:rPr>
            </w:pPr>
            <w:r w:rsidRPr="00E41614">
              <w:rPr>
                <w:rFonts w:ascii="Calibri" w:hAnsi="Calibri"/>
                <w:sz w:val="22"/>
                <w:szCs w:val="22"/>
              </w:rPr>
              <w:t>Republika Hrvatska</w:t>
            </w:r>
          </w:p>
        </w:tc>
        <w:tc>
          <w:tcPr>
            <w:tcW w:w="1603" w:type="dxa"/>
            <w:hideMark/>
          </w:tcPr>
          <w:p w14:paraId="5327A3A7"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1459" w:type="dxa"/>
            <w:hideMark/>
          </w:tcPr>
          <w:p w14:paraId="32BE3122" w14:textId="77777777" w:rsidR="00E41614" w:rsidRPr="00E41614" w:rsidRDefault="00E41614" w:rsidP="00F667BE">
            <w:pPr>
              <w:jc w:val="center"/>
              <w:rPr>
                <w:rFonts w:ascii="Calibri" w:hAnsi="Calibri"/>
                <w:sz w:val="22"/>
                <w:szCs w:val="22"/>
              </w:rPr>
            </w:pPr>
            <w:r w:rsidRPr="00E41614">
              <w:rPr>
                <w:rFonts w:ascii="Calibri" w:hAnsi="Calibri"/>
                <w:sz w:val="22"/>
                <w:szCs w:val="22"/>
              </w:rPr>
              <w:t>ne</w:t>
            </w:r>
          </w:p>
        </w:tc>
        <w:tc>
          <w:tcPr>
            <w:tcW w:w="2866" w:type="dxa"/>
            <w:hideMark/>
          </w:tcPr>
          <w:p w14:paraId="456FBBAB" w14:textId="77777777" w:rsidR="00E41614" w:rsidRPr="00E41614" w:rsidRDefault="00E41614">
            <w:pPr>
              <w:rPr>
                <w:rFonts w:ascii="Calibri" w:hAnsi="Calibri"/>
                <w:sz w:val="22"/>
                <w:szCs w:val="22"/>
              </w:rPr>
            </w:pPr>
            <w:r w:rsidRPr="00E41614">
              <w:rPr>
                <w:rFonts w:ascii="Calibri" w:hAnsi="Calibri"/>
                <w:sz w:val="22"/>
                <w:szCs w:val="22"/>
              </w:rPr>
              <w:t>Uprava sigurnosti plovidbe</w:t>
            </w:r>
          </w:p>
        </w:tc>
        <w:tc>
          <w:tcPr>
            <w:tcW w:w="3059" w:type="dxa"/>
            <w:hideMark/>
          </w:tcPr>
          <w:p w14:paraId="6A7F728C" w14:textId="77777777" w:rsidR="00E41614" w:rsidRPr="00E41614" w:rsidRDefault="0074387A">
            <w:pPr>
              <w:rPr>
                <w:rFonts w:ascii="Calibri" w:hAnsi="Calibri"/>
                <w:sz w:val="22"/>
                <w:szCs w:val="22"/>
                <w:u w:val="single"/>
              </w:rPr>
            </w:pPr>
            <w:hyperlink r:id="rId19" w:history="1">
              <w:r w:rsidR="00E41614" w:rsidRPr="00E41614">
                <w:rPr>
                  <w:rStyle w:val="Hiperveza"/>
                  <w:rFonts w:ascii="Calibri" w:hAnsi="Calibri"/>
                  <w:sz w:val="22"/>
                  <w:szCs w:val="22"/>
                </w:rPr>
                <w:t>HHI - Godišnje izvješće o radu</w:t>
              </w:r>
            </w:hyperlink>
          </w:p>
        </w:tc>
      </w:tr>
      <w:tr w:rsidR="000830AF" w:rsidRPr="00E41614" w14:paraId="734C67B0" w14:textId="77777777" w:rsidTr="000830AF">
        <w:trPr>
          <w:trHeight w:val="619"/>
        </w:trPr>
        <w:tc>
          <w:tcPr>
            <w:tcW w:w="610" w:type="dxa"/>
            <w:hideMark/>
          </w:tcPr>
          <w:p w14:paraId="451A8607" w14:textId="69F1272E" w:rsidR="00E41614" w:rsidRPr="00E41614" w:rsidRDefault="00E41614" w:rsidP="00E41614">
            <w:pPr>
              <w:rPr>
                <w:rFonts w:ascii="Calibri" w:hAnsi="Calibri"/>
                <w:sz w:val="22"/>
                <w:szCs w:val="22"/>
              </w:rPr>
            </w:pPr>
            <w:r w:rsidRPr="00E41614">
              <w:rPr>
                <w:rFonts w:ascii="Calibri" w:hAnsi="Calibri"/>
                <w:sz w:val="22"/>
                <w:szCs w:val="22"/>
              </w:rPr>
              <w:t>6</w:t>
            </w:r>
            <w:r w:rsidR="002A59D8">
              <w:rPr>
                <w:rFonts w:ascii="Calibri" w:hAnsi="Calibri"/>
                <w:sz w:val="22"/>
                <w:szCs w:val="22"/>
              </w:rPr>
              <w:t>.</w:t>
            </w:r>
          </w:p>
        </w:tc>
        <w:tc>
          <w:tcPr>
            <w:tcW w:w="3670" w:type="dxa"/>
            <w:hideMark/>
          </w:tcPr>
          <w:p w14:paraId="2594925C" w14:textId="77777777" w:rsidR="00E41614" w:rsidRPr="00E41614" w:rsidRDefault="00E41614">
            <w:pPr>
              <w:rPr>
                <w:rFonts w:ascii="Calibri" w:hAnsi="Calibri"/>
                <w:sz w:val="22"/>
                <w:szCs w:val="22"/>
              </w:rPr>
            </w:pPr>
            <w:r w:rsidRPr="00E41614">
              <w:rPr>
                <w:rFonts w:ascii="Calibri" w:hAnsi="Calibri"/>
                <w:sz w:val="22"/>
                <w:szCs w:val="22"/>
              </w:rPr>
              <w:t>Lučka uprava Zadar</w:t>
            </w:r>
          </w:p>
        </w:tc>
        <w:tc>
          <w:tcPr>
            <w:tcW w:w="3418" w:type="dxa"/>
            <w:hideMark/>
          </w:tcPr>
          <w:p w14:paraId="4FBFA8C4" w14:textId="77777777" w:rsidR="00E41614" w:rsidRPr="00E41614" w:rsidRDefault="00E41614">
            <w:pPr>
              <w:rPr>
                <w:rFonts w:ascii="Calibri" w:hAnsi="Calibri"/>
                <w:sz w:val="22"/>
                <w:szCs w:val="22"/>
              </w:rPr>
            </w:pPr>
            <w:proofErr w:type="spellStart"/>
            <w:r w:rsidRPr="00E41614">
              <w:rPr>
                <w:rFonts w:ascii="Calibri" w:hAnsi="Calibri"/>
                <w:sz w:val="22"/>
                <w:szCs w:val="22"/>
              </w:rPr>
              <w:t>Gaženička</w:t>
            </w:r>
            <w:proofErr w:type="spellEnd"/>
            <w:r w:rsidRPr="00E41614">
              <w:rPr>
                <w:rFonts w:ascii="Calibri" w:hAnsi="Calibri"/>
                <w:sz w:val="22"/>
                <w:szCs w:val="22"/>
              </w:rPr>
              <w:t xml:space="preserve"> cesta 28C, Zadar</w:t>
            </w:r>
          </w:p>
        </w:tc>
        <w:tc>
          <w:tcPr>
            <w:tcW w:w="1653" w:type="dxa"/>
            <w:hideMark/>
          </w:tcPr>
          <w:p w14:paraId="06BA3CC6" w14:textId="77777777" w:rsidR="00E41614" w:rsidRPr="00E41614" w:rsidRDefault="00E41614" w:rsidP="00E41614">
            <w:pPr>
              <w:rPr>
                <w:rFonts w:ascii="Calibri" w:hAnsi="Calibri"/>
                <w:sz w:val="22"/>
                <w:szCs w:val="22"/>
              </w:rPr>
            </w:pPr>
            <w:r w:rsidRPr="00E41614">
              <w:rPr>
                <w:rFonts w:ascii="Calibri" w:hAnsi="Calibri"/>
                <w:sz w:val="22"/>
                <w:szCs w:val="22"/>
              </w:rPr>
              <w:t>03457471323</w:t>
            </w:r>
          </w:p>
        </w:tc>
        <w:tc>
          <w:tcPr>
            <w:tcW w:w="1014" w:type="dxa"/>
            <w:hideMark/>
          </w:tcPr>
          <w:p w14:paraId="31BA3C0A" w14:textId="77777777" w:rsidR="00E41614" w:rsidRPr="00E41614" w:rsidRDefault="00E41614" w:rsidP="00E41614">
            <w:pPr>
              <w:rPr>
                <w:rFonts w:ascii="Calibri" w:hAnsi="Calibri"/>
                <w:sz w:val="22"/>
                <w:szCs w:val="22"/>
              </w:rPr>
            </w:pPr>
            <w:r w:rsidRPr="00E41614">
              <w:rPr>
                <w:rFonts w:ascii="Calibri" w:hAnsi="Calibri"/>
                <w:sz w:val="22"/>
                <w:szCs w:val="22"/>
              </w:rPr>
              <w:t>ustanova</w:t>
            </w:r>
          </w:p>
        </w:tc>
        <w:tc>
          <w:tcPr>
            <w:tcW w:w="2322" w:type="dxa"/>
            <w:hideMark/>
          </w:tcPr>
          <w:p w14:paraId="509E29BE" w14:textId="77777777" w:rsidR="00E41614" w:rsidRPr="00E41614" w:rsidRDefault="00E41614">
            <w:pPr>
              <w:rPr>
                <w:rFonts w:ascii="Calibri" w:hAnsi="Calibri"/>
                <w:sz w:val="22"/>
                <w:szCs w:val="22"/>
              </w:rPr>
            </w:pPr>
            <w:r w:rsidRPr="00E41614">
              <w:rPr>
                <w:rFonts w:ascii="Calibri" w:hAnsi="Calibri"/>
                <w:sz w:val="22"/>
                <w:szCs w:val="22"/>
              </w:rPr>
              <w:t>Republika Hrvatska</w:t>
            </w:r>
          </w:p>
        </w:tc>
        <w:tc>
          <w:tcPr>
            <w:tcW w:w="1603" w:type="dxa"/>
            <w:hideMark/>
          </w:tcPr>
          <w:p w14:paraId="5EB43D41"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1459" w:type="dxa"/>
            <w:hideMark/>
          </w:tcPr>
          <w:p w14:paraId="439EE1A5" w14:textId="77777777" w:rsidR="00E41614" w:rsidRPr="00E41614" w:rsidRDefault="00E41614" w:rsidP="00F667BE">
            <w:pPr>
              <w:jc w:val="center"/>
              <w:rPr>
                <w:rFonts w:ascii="Calibri" w:hAnsi="Calibri"/>
                <w:sz w:val="22"/>
                <w:szCs w:val="22"/>
              </w:rPr>
            </w:pPr>
            <w:r w:rsidRPr="00E41614">
              <w:rPr>
                <w:rFonts w:ascii="Calibri" w:hAnsi="Calibri"/>
                <w:sz w:val="22"/>
                <w:szCs w:val="22"/>
              </w:rPr>
              <w:t>ne</w:t>
            </w:r>
          </w:p>
        </w:tc>
        <w:tc>
          <w:tcPr>
            <w:tcW w:w="2866" w:type="dxa"/>
            <w:hideMark/>
          </w:tcPr>
          <w:p w14:paraId="41435A85" w14:textId="77777777" w:rsidR="00E41614" w:rsidRPr="00E41614" w:rsidRDefault="00E41614">
            <w:pPr>
              <w:rPr>
                <w:rFonts w:ascii="Calibri" w:hAnsi="Calibri"/>
                <w:sz w:val="22"/>
                <w:szCs w:val="22"/>
              </w:rPr>
            </w:pPr>
            <w:r w:rsidRPr="00E41614">
              <w:rPr>
                <w:rFonts w:ascii="Calibri" w:hAnsi="Calibri"/>
                <w:sz w:val="22"/>
                <w:szCs w:val="22"/>
              </w:rPr>
              <w:t>Uprava pomorstva</w:t>
            </w:r>
          </w:p>
        </w:tc>
        <w:tc>
          <w:tcPr>
            <w:tcW w:w="3059" w:type="dxa"/>
            <w:hideMark/>
          </w:tcPr>
          <w:p w14:paraId="4FF48984" w14:textId="77777777" w:rsidR="00E41614" w:rsidRPr="00E41614" w:rsidRDefault="0074387A">
            <w:pPr>
              <w:rPr>
                <w:rFonts w:ascii="Calibri" w:hAnsi="Calibri"/>
                <w:sz w:val="22"/>
                <w:szCs w:val="22"/>
                <w:u w:val="single"/>
              </w:rPr>
            </w:pPr>
            <w:hyperlink r:id="rId20" w:history="1">
              <w:r w:rsidR="00E41614" w:rsidRPr="00E41614">
                <w:rPr>
                  <w:rStyle w:val="Hiperveza"/>
                  <w:rFonts w:ascii="Calibri" w:hAnsi="Calibri"/>
                  <w:sz w:val="22"/>
                  <w:szCs w:val="22"/>
                </w:rPr>
                <w:t>LU Zadar - Godišnji financijski izvještaj</w:t>
              </w:r>
            </w:hyperlink>
          </w:p>
        </w:tc>
      </w:tr>
      <w:tr w:rsidR="000830AF" w:rsidRPr="00E41614" w14:paraId="129318DB" w14:textId="77777777" w:rsidTr="000830AF">
        <w:trPr>
          <w:trHeight w:val="619"/>
        </w:trPr>
        <w:tc>
          <w:tcPr>
            <w:tcW w:w="610" w:type="dxa"/>
            <w:hideMark/>
          </w:tcPr>
          <w:p w14:paraId="5532C9DD" w14:textId="02509B72" w:rsidR="00E41614" w:rsidRPr="00E41614" w:rsidRDefault="00E41614" w:rsidP="00E41614">
            <w:pPr>
              <w:rPr>
                <w:rFonts w:ascii="Calibri" w:hAnsi="Calibri"/>
                <w:sz w:val="22"/>
                <w:szCs w:val="22"/>
              </w:rPr>
            </w:pPr>
            <w:r w:rsidRPr="00E41614">
              <w:rPr>
                <w:rFonts w:ascii="Calibri" w:hAnsi="Calibri"/>
                <w:sz w:val="22"/>
                <w:szCs w:val="22"/>
              </w:rPr>
              <w:t>7</w:t>
            </w:r>
            <w:r w:rsidR="002A59D8">
              <w:rPr>
                <w:rFonts w:ascii="Calibri" w:hAnsi="Calibri"/>
                <w:sz w:val="22"/>
                <w:szCs w:val="22"/>
              </w:rPr>
              <w:t>.</w:t>
            </w:r>
          </w:p>
        </w:tc>
        <w:tc>
          <w:tcPr>
            <w:tcW w:w="3670" w:type="dxa"/>
            <w:hideMark/>
          </w:tcPr>
          <w:p w14:paraId="1877181A" w14:textId="77777777" w:rsidR="00E41614" w:rsidRPr="00E41614" w:rsidRDefault="00E41614">
            <w:pPr>
              <w:rPr>
                <w:rFonts w:ascii="Calibri" w:hAnsi="Calibri"/>
                <w:sz w:val="22"/>
                <w:szCs w:val="22"/>
              </w:rPr>
            </w:pPr>
            <w:r w:rsidRPr="00E41614">
              <w:rPr>
                <w:rFonts w:ascii="Calibri" w:hAnsi="Calibri"/>
                <w:sz w:val="22"/>
                <w:szCs w:val="22"/>
              </w:rPr>
              <w:t>Lučka uprava Split</w:t>
            </w:r>
          </w:p>
        </w:tc>
        <w:tc>
          <w:tcPr>
            <w:tcW w:w="3418" w:type="dxa"/>
            <w:hideMark/>
          </w:tcPr>
          <w:p w14:paraId="2BE457BE" w14:textId="77777777" w:rsidR="00E41614" w:rsidRPr="00E41614" w:rsidRDefault="00E41614">
            <w:pPr>
              <w:rPr>
                <w:rFonts w:ascii="Calibri" w:hAnsi="Calibri"/>
                <w:sz w:val="22"/>
                <w:szCs w:val="22"/>
              </w:rPr>
            </w:pPr>
            <w:r w:rsidRPr="00E41614">
              <w:rPr>
                <w:rFonts w:ascii="Calibri" w:hAnsi="Calibri"/>
                <w:sz w:val="22"/>
                <w:szCs w:val="22"/>
              </w:rPr>
              <w:t>Gat Sv. Duje 1, Split</w:t>
            </w:r>
          </w:p>
        </w:tc>
        <w:tc>
          <w:tcPr>
            <w:tcW w:w="1653" w:type="dxa"/>
            <w:hideMark/>
          </w:tcPr>
          <w:p w14:paraId="7206D3A3" w14:textId="77777777" w:rsidR="00E41614" w:rsidRPr="00E41614" w:rsidRDefault="00E41614" w:rsidP="00E41614">
            <w:pPr>
              <w:rPr>
                <w:rFonts w:ascii="Calibri" w:hAnsi="Calibri"/>
                <w:sz w:val="22"/>
                <w:szCs w:val="22"/>
              </w:rPr>
            </w:pPr>
            <w:r w:rsidRPr="00E41614">
              <w:rPr>
                <w:rFonts w:ascii="Calibri" w:hAnsi="Calibri"/>
                <w:sz w:val="22"/>
                <w:szCs w:val="22"/>
              </w:rPr>
              <w:t>06992092556</w:t>
            </w:r>
          </w:p>
        </w:tc>
        <w:tc>
          <w:tcPr>
            <w:tcW w:w="1014" w:type="dxa"/>
            <w:hideMark/>
          </w:tcPr>
          <w:p w14:paraId="0AF1F63A" w14:textId="77777777" w:rsidR="00E41614" w:rsidRPr="00E41614" w:rsidRDefault="00E41614" w:rsidP="00E41614">
            <w:pPr>
              <w:rPr>
                <w:rFonts w:ascii="Calibri" w:hAnsi="Calibri"/>
                <w:sz w:val="22"/>
                <w:szCs w:val="22"/>
              </w:rPr>
            </w:pPr>
            <w:r w:rsidRPr="00E41614">
              <w:rPr>
                <w:rFonts w:ascii="Calibri" w:hAnsi="Calibri"/>
                <w:sz w:val="22"/>
                <w:szCs w:val="22"/>
              </w:rPr>
              <w:t>ustanova</w:t>
            </w:r>
          </w:p>
        </w:tc>
        <w:tc>
          <w:tcPr>
            <w:tcW w:w="2322" w:type="dxa"/>
            <w:hideMark/>
          </w:tcPr>
          <w:p w14:paraId="7F7FB2A8" w14:textId="77777777" w:rsidR="00E41614" w:rsidRPr="00E41614" w:rsidRDefault="00E41614">
            <w:pPr>
              <w:rPr>
                <w:rFonts w:ascii="Calibri" w:hAnsi="Calibri"/>
                <w:sz w:val="22"/>
                <w:szCs w:val="22"/>
              </w:rPr>
            </w:pPr>
            <w:r w:rsidRPr="00E41614">
              <w:rPr>
                <w:rFonts w:ascii="Calibri" w:hAnsi="Calibri"/>
                <w:sz w:val="22"/>
                <w:szCs w:val="22"/>
              </w:rPr>
              <w:t>Republika Hrvatska</w:t>
            </w:r>
          </w:p>
        </w:tc>
        <w:tc>
          <w:tcPr>
            <w:tcW w:w="1603" w:type="dxa"/>
            <w:hideMark/>
          </w:tcPr>
          <w:p w14:paraId="60F5E1F2"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1459" w:type="dxa"/>
            <w:hideMark/>
          </w:tcPr>
          <w:p w14:paraId="53E9F820" w14:textId="77777777" w:rsidR="00E41614" w:rsidRPr="00E41614" w:rsidRDefault="00E41614" w:rsidP="00F667BE">
            <w:pPr>
              <w:jc w:val="center"/>
              <w:rPr>
                <w:rFonts w:ascii="Calibri" w:hAnsi="Calibri"/>
                <w:sz w:val="22"/>
                <w:szCs w:val="22"/>
              </w:rPr>
            </w:pPr>
            <w:r w:rsidRPr="00E41614">
              <w:rPr>
                <w:rFonts w:ascii="Calibri" w:hAnsi="Calibri"/>
                <w:sz w:val="22"/>
                <w:szCs w:val="22"/>
              </w:rPr>
              <w:t>ne</w:t>
            </w:r>
          </w:p>
        </w:tc>
        <w:tc>
          <w:tcPr>
            <w:tcW w:w="2866" w:type="dxa"/>
            <w:hideMark/>
          </w:tcPr>
          <w:p w14:paraId="51E0BD17" w14:textId="77777777" w:rsidR="00E41614" w:rsidRPr="00E41614" w:rsidRDefault="00E41614">
            <w:pPr>
              <w:rPr>
                <w:rFonts w:ascii="Calibri" w:hAnsi="Calibri"/>
                <w:sz w:val="22"/>
                <w:szCs w:val="22"/>
              </w:rPr>
            </w:pPr>
            <w:r w:rsidRPr="00E41614">
              <w:rPr>
                <w:rFonts w:ascii="Calibri" w:hAnsi="Calibri"/>
                <w:sz w:val="22"/>
                <w:szCs w:val="22"/>
              </w:rPr>
              <w:t>Uprava pomorstva</w:t>
            </w:r>
          </w:p>
        </w:tc>
        <w:tc>
          <w:tcPr>
            <w:tcW w:w="3059" w:type="dxa"/>
            <w:hideMark/>
          </w:tcPr>
          <w:p w14:paraId="35C2F08D" w14:textId="77777777" w:rsidR="00E41614" w:rsidRPr="00E41614" w:rsidRDefault="0074387A">
            <w:pPr>
              <w:rPr>
                <w:rFonts w:ascii="Calibri" w:hAnsi="Calibri"/>
                <w:sz w:val="22"/>
                <w:szCs w:val="22"/>
                <w:u w:val="single"/>
              </w:rPr>
            </w:pPr>
            <w:hyperlink r:id="rId21" w:history="1">
              <w:r w:rsidR="00E41614" w:rsidRPr="00E41614">
                <w:rPr>
                  <w:rStyle w:val="Hiperveza"/>
                  <w:rFonts w:ascii="Calibri" w:hAnsi="Calibri"/>
                  <w:sz w:val="22"/>
                  <w:szCs w:val="22"/>
                </w:rPr>
                <w:t>LU Split - Godišnje izvješće o radu</w:t>
              </w:r>
            </w:hyperlink>
          </w:p>
        </w:tc>
      </w:tr>
      <w:tr w:rsidR="000830AF" w:rsidRPr="00E41614" w14:paraId="13104C92" w14:textId="77777777" w:rsidTr="000830AF">
        <w:trPr>
          <w:trHeight w:val="619"/>
        </w:trPr>
        <w:tc>
          <w:tcPr>
            <w:tcW w:w="610" w:type="dxa"/>
            <w:hideMark/>
          </w:tcPr>
          <w:p w14:paraId="302D55E9" w14:textId="295293E1" w:rsidR="00E41614" w:rsidRPr="00E41614" w:rsidRDefault="00E41614" w:rsidP="00E41614">
            <w:pPr>
              <w:rPr>
                <w:rFonts w:ascii="Calibri" w:hAnsi="Calibri"/>
                <w:sz w:val="22"/>
                <w:szCs w:val="22"/>
              </w:rPr>
            </w:pPr>
            <w:r w:rsidRPr="00E41614">
              <w:rPr>
                <w:rFonts w:ascii="Calibri" w:hAnsi="Calibri"/>
                <w:sz w:val="22"/>
                <w:szCs w:val="22"/>
              </w:rPr>
              <w:t>8</w:t>
            </w:r>
            <w:r w:rsidR="002A59D8">
              <w:rPr>
                <w:rFonts w:ascii="Calibri" w:hAnsi="Calibri"/>
                <w:sz w:val="22"/>
                <w:szCs w:val="22"/>
              </w:rPr>
              <w:t>.</w:t>
            </w:r>
          </w:p>
        </w:tc>
        <w:tc>
          <w:tcPr>
            <w:tcW w:w="3670" w:type="dxa"/>
            <w:hideMark/>
          </w:tcPr>
          <w:p w14:paraId="5645A901" w14:textId="77777777" w:rsidR="00E41614" w:rsidRPr="00E41614" w:rsidRDefault="00E41614">
            <w:pPr>
              <w:rPr>
                <w:rFonts w:ascii="Calibri" w:hAnsi="Calibri"/>
                <w:sz w:val="22"/>
                <w:szCs w:val="22"/>
              </w:rPr>
            </w:pPr>
            <w:r w:rsidRPr="00E41614">
              <w:rPr>
                <w:rFonts w:ascii="Calibri" w:hAnsi="Calibri"/>
                <w:sz w:val="22"/>
                <w:szCs w:val="22"/>
              </w:rPr>
              <w:t>Lučka uprava Rijeka</w:t>
            </w:r>
          </w:p>
        </w:tc>
        <w:tc>
          <w:tcPr>
            <w:tcW w:w="3418" w:type="dxa"/>
            <w:hideMark/>
          </w:tcPr>
          <w:p w14:paraId="497171A4" w14:textId="77777777" w:rsidR="00E41614" w:rsidRPr="00E41614" w:rsidRDefault="00E41614">
            <w:pPr>
              <w:rPr>
                <w:rFonts w:ascii="Calibri" w:hAnsi="Calibri"/>
                <w:sz w:val="22"/>
                <w:szCs w:val="22"/>
              </w:rPr>
            </w:pPr>
            <w:r w:rsidRPr="00E41614">
              <w:rPr>
                <w:rFonts w:ascii="Calibri" w:hAnsi="Calibri"/>
                <w:sz w:val="22"/>
                <w:szCs w:val="22"/>
              </w:rPr>
              <w:t>Riva 1, Rijeka</w:t>
            </w:r>
          </w:p>
        </w:tc>
        <w:tc>
          <w:tcPr>
            <w:tcW w:w="1653" w:type="dxa"/>
            <w:hideMark/>
          </w:tcPr>
          <w:p w14:paraId="20217819" w14:textId="77777777" w:rsidR="00E41614" w:rsidRPr="00E41614" w:rsidRDefault="00E41614" w:rsidP="00E41614">
            <w:pPr>
              <w:rPr>
                <w:rFonts w:ascii="Calibri" w:hAnsi="Calibri"/>
                <w:sz w:val="22"/>
                <w:szCs w:val="22"/>
              </w:rPr>
            </w:pPr>
            <w:r w:rsidRPr="00E41614">
              <w:rPr>
                <w:rFonts w:ascii="Calibri" w:hAnsi="Calibri"/>
                <w:sz w:val="22"/>
                <w:szCs w:val="22"/>
              </w:rPr>
              <w:t>60521475400</w:t>
            </w:r>
          </w:p>
        </w:tc>
        <w:tc>
          <w:tcPr>
            <w:tcW w:w="1014" w:type="dxa"/>
            <w:hideMark/>
          </w:tcPr>
          <w:p w14:paraId="3F09108D" w14:textId="77777777" w:rsidR="00E41614" w:rsidRPr="00E41614" w:rsidRDefault="00E41614" w:rsidP="00E41614">
            <w:pPr>
              <w:rPr>
                <w:rFonts w:ascii="Calibri" w:hAnsi="Calibri"/>
                <w:sz w:val="22"/>
                <w:szCs w:val="22"/>
              </w:rPr>
            </w:pPr>
            <w:r w:rsidRPr="00E41614">
              <w:rPr>
                <w:rFonts w:ascii="Calibri" w:hAnsi="Calibri"/>
                <w:sz w:val="22"/>
                <w:szCs w:val="22"/>
              </w:rPr>
              <w:t>ustanova</w:t>
            </w:r>
          </w:p>
        </w:tc>
        <w:tc>
          <w:tcPr>
            <w:tcW w:w="2322" w:type="dxa"/>
            <w:hideMark/>
          </w:tcPr>
          <w:p w14:paraId="59CCD746" w14:textId="77777777" w:rsidR="00E41614" w:rsidRPr="00E41614" w:rsidRDefault="00E41614">
            <w:pPr>
              <w:rPr>
                <w:rFonts w:ascii="Calibri" w:hAnsi="Calibri"/>
                <w:sz w:val="22"/>
                <w:szCs w:val="22"/>
              </w:rPr>
            </w:pPr>
            <w:r w:rsidRPr="00E41614">
              <w:rPr>
                <w:rFonts w:ascii="Calibri" w:hAnsi="Calibri"/>
                <w:sz w:val="22"/>
                <w:szCs w:val="22"/>
              </w:rPr>
              <w:t>Republika Hrvatska</w:t>
            </w:r>
          </w:p>
        </w:tc>
        <w:tc>
          <w:tcPr>
            <w:tcW w:w="1603" w:type="dxa"/>
            <w:hideMark/>
          </w:tcPr>
          <w:p w14:paraId="226B8168"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1459" w:type="dxa"/>
            <w:hideMark/>
          </w:tcPr>
          <w:p w14:paraId="1150389E" w14:textId="77777777" w:rsidR="00E41614" w:rsidRPr="00E41614" w:rsidRDefault="00E41614" w:rsidP="00F667BE">
            <w:pPr>
              <w:jc w:val="center"/>
              <w:rPr>
                <w:rFonts w:ascii="Calibri" w:hAnsi="Calibri"/>
                <w:sz w:val="22"/>
                <w:szCs w:val="22"/>
              </w:rPr>
            </w:pPr>
            <w:r w:rsidRPr="00E41614">
              <w:rPr>
                <w:rFonts w:ascii="Calibri" w:hAnsi="Calibri"/>
                <w:sz w:val="22"/>
                <w:szCs w:val="22"/>
              </w:rPr>
              <w:t>ne</w:t>
            </w:r>
          </w:p>
        </w:tc>
        <w:tc>
          <w:tcPr>
            <w:tcW w:w="2866" w:type="dxa"/>
            <w:hideMark/>
          </w:tcPr>
          <w:p w14:paraId="4D98C3F7" w14:textId="77777777" w:rsidR="00E41614" w:rsidRPr="00E41614" w:rsidRDefault="00E41614">
            <w:pPr>
              <w:rPr>
                <w:rFonts w:ascii="Calibri" w:hAnsi="Calibri"/>
                <w:sz w:val="22"/>
                <w:szCs w:val="22"/>
              </w:rPr>
            </w:pPr>
            <w:r w:rsidRPr="00E41614">
              <w:rPr>
                <w:rFonts w:ascii="Calibri" w:hAnsi="Calibri"/>
                <w:sz w:val="22"/>
                <w:szCs w:val="22"/>
              </w:rPr>
              <w:t>Uprava pomorstva</w:t>
            </w:r>
          </w:p>
        </w:tc>
        <w:tc>
          <w:tcPr>
            <w:tcW w:w="3059" w:type="dxa"/>
            <w:hideMark/>
          </w:tcPr>
          <w:p w14:paraId="78A2A7E7" w14:textId="77777777" w:rsidR="00E41614" w:rsidRPr="00E41614" w:rsidRDefault="0074387A">
            <w:pPr>
              <w:rPr>
                <w:rFonts w:ascii="Calibri" w:hAnsi="Calibri"/>
                <w:sz w:val="22"/>
                <w:szCs w:val="22"/>
                <w:u w:val="single"/>
              </w:rPr>
            </w:pPr>
            <w:hyperlink r:id="rId22" w:history="1">
              <w:r w:rsidR="00E41614" w:rsidRPr="00E41614">
                <w:rPr>
                  <w:rStyle w:val="Hiperveza"/>
                  <w:rFonts w:ascii="Calibri" w:hAnsi="Calibri"/>
                  <w:sz w:val="22"/>
                  <w:szCs w:val="22"/>
                </w:rPr>
                <w:t>LU Rijeka-Godišnja financijska izvješća</w:t>
              </w:r>
            </w:hyperlink>
          </w:p>
        </w:tc>
      </w:tr>
      <w:tr w:rsidR="000830AF" w:rsidRPr="00E41614" w14:paraId="56CF16B7" w14:textId="77777777" w:rsidTr="000830AF">
        <w:trPr>
          <w:trHeight w:val="619"/>
        </w:trPr>
        <w:tc>
          <w:tcPr>
            <w:tcW w:w="610" w:type="dxa"/>
            <w:hideMark/>
          </w:tcPr>
          <w:p w14:paraId="7356360F" w14:textId="1D09527A" w:rsidR="00E41614" w:rsidRPr="00E41614" w:rsidRDefault="00E41614" w:rsidP="00E41614">
            <w:pPr>
              <w:rPr>
                <w:rFonts w:ascii="Calibri" w:hAnsi="Calibri"/>
                <w:sz w:val="22"/>
                <w:szCs w:val="22"/>
              </w:rPr>
            </w:pPr>
            <w:r w:rsidRPr="00E41614">
              <w:rPr>
                <w:rFonts w:ascii="Calibri" w:hAnsi="Calibri"/>
                <w:sz w:val="22"/>
                <w:szCs w:val="22"/>
              </w:rPr>
              <w:t>9</w:t>
            </w:r>
            <w:r w:rsidR="002A59D8">
              <w:rPr>
                <w:rFonts w:ascii="Calibri" w:hAnsi="Calibri"/>
                <w:sz w:val="22"/>
                <w:szCs w:val="22"/>
              </w:rPr>
              <w:t>.</w:t>
            </w:r>
          </w:p>
        </w:tc>
        <w:tc>
          <w:tcPr>
            <w:tcW w:w="3670" w:type="dxa"/>
            <w:hideMark/>
          </w:tcPr>
          <w:p w14:paraId="4D64C00E" w14:textId="77777777" w:rsidR="00E41614" w:rsidRPr="00E41614" w:rsidRDefault="00E41614">
            <w:pPr>
              <w:rPr>
                <w:rFonts w:ascii="Calibri" w:hAnsi="Calibri"/>
                <w:sz w:val="22"/>
                <w:szCs w:val="22"/>
              </w:rPr>
            </w:pPr>
            <w:r w:rsidRPr="00E41614">
              <w:rPr>
                <w:rFonts w:ascii="Calibri" w:hAnsi="Calibri"/>
                <w:sz w:val="22"/>
                <w:szCs w:val="22"/>
              </w:rPr>
              <w:t>Lučka uprava Ploče</w:t>
            </w:r>
          </w:p>
        </w:tc>
        <w:tc>
          <w:tcPr>
            <w:tcW w:w="3418" w:type="dxa"/>
            <w:hideMark/>
          </w:tcPr>
          <w:p w14:paraId="2D28B46D" w14:textId="77777777" w:rsidR="00E41614" w:rsidRPr="00E41614" w:rsidRDefault="00E41614">
            <w:pPr>
              <w:rPr>
                <w:rFonts w:ascii="Calibri" w:hAnsi="Calibri"/>
                <w:sz w:val="22"/>
                <w:szCs w:val="22"/>
              </w:rPr>
            </w:pPr>
            <w:r w:rsidRPr="00E41614">
              <w:rPr>
                <w:rFonts w:ascii="Calibri" w:hAnsi="Calibri"/>
                <w:sz w:val="22"/>
                <w:szCs w:val="22"/>
              </w:rPr>
              <w:t>Trg kralja Tomislava 21, Ploče</w:t>
            </w:r>
          </w:p>
        </w:tc>
        <w:tc>
          <w:tcPr>
            <w:tcW w:w="1653" w:type="dxa"/>
            <w:hideMark/>
          </w:tcPr>
          <w:p w14:paraId="0D9E7D30" w14:textId="77777777" w:rsidR="00E41614" w:rsidRPr="00E41614" w:rsidRDefault="00E41614" w:rsidP="00E41614">
            <w:pPr>
              <w:rPr>
                <w:rFonts w:ascii="Calibri" w:hAnsi="Calibri"/>
                <w:sz w:val="22"/>
                <w:szCs w:val="22"/>
              </w:rPr>
            </w:pPr>
            <w:r w:rsidRPr="00E41614">
              <w:rPr>
                <w:rFonts w:ascii="Calibri" w:hAnsi="Calibri"/>
                <w:sz w:val="22"/>
                <w:szCs w:val="22"/>
              </w:rPr>
              <w:t>98749709951</w:t>
            </w:r>
          </w:p>
        </w:tc>
        <w:tc>
          <w:tcPr>
            <w:tcW w:w="1014" w:type="dxa"/>
            <w:hideMark/>
          </w:tcPr>
          <w:p w14:paraId="143547C6" w14:textId="77777777" w:rsidR="00E41614" w:rsidRPr="00E41614" w:rsidRDefault="00E41614" w:rsidP="00E41614">
            <w:pPr>
              <w:rPr>
                <w:rFonts w:ascii="Calibri" w:hAnsi="Calibri"/>
                <w:sz w:val="22"/>
                <w:szCs w:val="22"/>
              </w:rPr>
            </w:pPr>
            <w:r w:rsidRPr="00E41614">
              <w:rPr>
                <w:rFonts w:ascii="Calibri" w:hAnsi="Calibri"/>
                <w:sz w:val="22"/>
                <w:szCs w:val="22"/>
              </w:rPr>
              <w:t>ustanova</w:t>
            </w:r>
          </w:p>
        </w:tc>
        <w:tc>
          <w:tcPr>
            <w:tcW w:w="2322" w:type="dxa"/>
            <w:hideMark/>
          </w:tcPr>
          <w:p w14:paraId="5B0F2648" w14:textId="77777777" w:rsidR="00E41614" w:rsidRPr="00E41614" w:rsidRDefault="00E41614">
            <w:pPr>
              <w:rPr>
                <w:rFonts w:ascii="Calibri" w:hAnsi="Calibri"/>
                <w:sz w:val="22"/>
                <w:szCs w:val="22"/>
              </w:rPr>
            </w:pPr>
            <w:r w:rsidRPr="00E41614">
              <w:rPr>
                <w:rFonts w:ascii="Calibri" w:hAnsi="Calibri"/>
                <w:sz w:val="22"/>
                <w:szCs w:val="22"/>
              </w:rPr>
              <w:t>Republika Hrvatska</w:t>
            </w:r>
          </w:p>
        </w:tc>
        <w:tc>
          <w:tcPr>
            <w:tcW w:w="1603" w:type="dxa"/>
            <w:hideMark/>
          </w:tcPr>
          <w:p w14:paraId="6F3C9090"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1459" w:type="dxa"/>
            <w:hideMark/>
          </w:tcPr>
          <w:p w14:paraId="0182E08C" w14:textId="77777777" w:rsidR="00E41614" w:rsidRPr="00E41614" w:rsidRDefault="00E41614" w:rsidP="00F667BE">
            <w:pPr>
              <w:jc w:val="center"/>
              <w:rPr>
                <w:rFonts w:ascii="Calibri" w:hAnsi="Calibri"/>
                <w:sz w:val="22"/>
                <w:szCs w:val="22"/>
              </w:rPr>
            </w:pPr>
            <w:r w:rsidRPr="00E41614">
              <w:rPr>
                <w:rFonts w:ascii="Calibri" w:hAnsi="Calibri"/>
                <w:sz w:val="22"/>
                <w:szCs w:val="22"/>
              </w:rPr>
              <w:t>ne</w:t>
            </w:r>
          </w:p>
        </w:tc>
        <w:tc>
          <w:tcPr>
            <w:tcW w:w="2866" w:type="dxa"/>
            <w:hideMark/>
          </w:tcPr>
          <w:p w14:paraId="14ED14A2" w14:textId="77777777" w:rsidR="00E41614" w:rsidRPr="00E41614" w:rsidRDefault="00E41614">
            <w:pPr>
              <w:rPr>
                <w:rFonts w:ascii="Calibri" w:hAnsi="Calibri"/>
                <w:sz w:val="22"/>
                <w:szCs w:val="22"/>
              </w:rPr>
            </w:pPr>
            <w:r w:rsidRPr="00E41614">
              <w:rPr>
                <w:rFonts w:ascii="Calibri" w:hAnsi="Calibri"/>
                <w:sz w:val="22"/>
                <w:szCs w:val="22"/>
              </w:rPr>
              <w:t>Uprava pomorstva</w:t>
            </w:r>
          </w:p>
        </w:tc>
        <w:tc>
          <w:tcPr>
            <w:tcW w:w="3059" w:type="dxa"/>
            <w:hideMark/>
          </w:tcPr>
          <w:p w14:paraId="663D400D" w14:textId="77777777" w:rsidR="00E41614" w:rsidRPr="00E41614" w:rsidRDefault="0074387A">
            <w:pPr>
              <w:rPr>
                <w:rFonts w:ascii="Calibri" w:hAnsi="Calibri"/>
                <w:sz w:val="22"/>
                <w:szCs w:val="22"/>
                <w:u w:val="single"/>
              </w:rPr>
            </w:pPr>
            <w:hyperlink r:id="rId23" w:history="1">
              <w:r w:rsidR="00E41614" w:rsidRPr="00E41614">
                <w:rPr>
                  <w:rStyle w:val="Hiperveza"/>
                  <w:rFonts w:ascii="Calibri" w:hAnsi="Calibri"/>
                  <w:sz w:val="22"/>
                  <w:szCs w:val="22"/>
                </w:rPr>
                <w:t>LU Ploče -Godišnja financijska izvješća</w:t>
              </w:r>
            </w:hyperlink>
          </w:p>
        </w:tc>
      </w:tr>
      <w:tr w:rsidR="000830AF" w:rsidRPr="00E41614" w14:paraId="046C7575" w14:textId="77777777" w:rsidTr="000830AF">
        <w:trPr>
          <w:trHeight w:val="619"/>
        </w:trPr>
        <w:tc>
          <w:tcPr>
            <w:tcW w:w="610" w:type="dxa"/>
            <w:hideMark/>
          </w:tcPr>
          <w:p w14:paraId="61A7407F" w14:textId="27F4E943" w:rsidR="00E41614" w:rsidRPr="00E41614" w:rsidRDefault="00E41614" w:rsidP="00E41614">
            <w:pPr>
              <w:rPr>
                <w:rFonts w:ascii="Calibri" w:hAnsi="Calibri"/>
                <w:sz w:val="22"/>
                <w:szCs w:val="22"/>
              </w:rPr>
            </w:pPr>
            <w:r w:rsidRPr="00E41614">
              <w:rPr>
                <w:rFonts w:ascii="Calibri" w:hAnsi="Calibri"/>
                <w:sz w:val="22"/>
                <w:szCs w:val="22"/>
              </w:rPr>
              <w:t>10</w:t>
            </w:r>
            <w:r w:rsidR="002A59D8">
              <w:rPr>
                <w:rFonts w:ascii="Calibri" w:hAnsi="Calibri"/>
                <w:sz w:val="22"/>
                <w:szCs w:val="22"/>
              </w:rPr>
              <w:t>.</w:t>
            </w:r>
          </w:p>
        </w:tc>
        <w:tc>
          <w:tcPr>
            <w:tcW w:w="3670" w:type="dxa"/>
            <w:hideMark/>
          </w:tcPr>
          <w:p w14:paraId="6862360E" w14:textId="77777777" w:rsidR="00E41614" w:rsidRPr="00E41614" w:rsidRDefault="00E41614">
            <w:pPr>
              <w:rPr>
                <w:rFonts w:ascii="Calibri" w:hAnsi="Calibri"/>
                <w:sz w:val="22"/>
                <w:szCs w:val="22"/>
              </w:rPr>
            </w:pPr>
            <w:r w:rsidRPr="00E41614">
              <w:rPr>
                <w:rFonts w:ascii="Calibri" w:hAnsi="Calibri"/>
                <w:sz w:val="22"/>
                <w:szCs w:val="22"/>
              </w:rPr>
              <w:t>Lučka uprava Dubrovnik</w:t>
            </w:r>
          </w:p>
        </w:tc>
        <w:tc>
          <w:tcPr>
            <w:tcW w:w="3418" w:type="dxa"/>
            <w:hideMark/>
          </w:tcPr>
          <w:p w14:paraId="1AC0A2D6" w14:textId="77777777" w:rsidR="00E41614" w:rsidRPr="00E41614" w:rsidRDefault="00E41614">
            <w:pPr>
              <w:rPr>
                <w:rFonts w:ascii="Calibri" w:hAnsi="Calibri"/>
                <w:sz w:val="22"/>
                <w:szCs w:val="22"/>
              </w:rPr>
            </w:pPr>
            <w:r w:rsidRPr="00E41614">
              <w:rPr>
                <w:rFonts w:ascii="Calibri" w:hAnsi="Calibri"/>
                <w:sz w:val="22"/>
                <w:szCs w:val="22"/>
              </w:rPr>
              <w:t>Obala pape Ivana Pavla II 1, Dubrovnik</w:t>
            </w:r>
          </w:p>
        </w:tc>
        <w:tc>
          <w:tcPr>
            <w:tcW w:w="1653" w:type="dxa"/>
            <w:hideMark/>
          </w:tcPr>
          <w:p w14:paraId="6B33A6DC" w14:textId="77777777" w:rsidR="00E41614" w:rsidRPr="00E41614" w:rsidRDefault="00E41614" w:rsidP="00E41614">
            <w:pPr>
              <w:rPr>
                <w:rFonts w:ascii="Calibri" w:hAnsi="Calibri"/>
                <w:sz w:val="22"/>
                <w:szCs w:val="22"/>
              </w:rPr>
            </w:pPr>
            <w:r w:rsidRPr="00E41614">
              <w:rPr>
                <w:rFonts w:ascii="Calibri" w:hAnsi="Calibri"/>
                <w:sz w:val="22"/>
                <w:szCs w:val="22"/>
              </w:rPr>
              <w:t>51303627909</w:t>
            </w:r>
          </w:p>
        </w:tc>
        <w:tc>
          <w:tcPr>
            <w:tcW w:w="1014" w:type="dxa"/>
            <w:hideMark/>
          </w:tcPr>
          <w:p w14:paraId="37952BD3" w14:textId="77777777" w:rsidR="00E41614" w:rsidRPr="00E41614" w:rsidRDefault="00E41614" w:rsidP="00E41614">
            <w:pPr>
              <w:rPr>
                <w:rFonts w:ascii="Calibri" w:hAnsi="Calibri"/>
                <w:sz w:val="22"/>
                <w:szCs w:val="22"/>
              </w:rPr>
            </w:pPr>
            <w:r w:rsidRPr="00E41614">
              <w:rPr>
                <w:rFonts w:ascii="Calibri" w:hAnsi="Calibri"/>
                <w:sz w:val="22"/>
                <w:szCs w:val="22"/>
              </w:rPr>
              <w:t>ustanova</w:t>
            </w:r>
          </w:p>
        </w:tc>
        <w:tc>
          <w:tcPr>
            <w:tcW w:w="2322" w:type="dxa"/>
            <w:hideMark/>
          </w:tcPr>
          <w:p w14:paraId="70BF18B0" w14:textId="77777777" w:rsidR="00E41614" w:rsidRPr="00E41614" w:rsidRDefault="00E41614">
            <w:pPr>
              <w:rPr>
                <w:rFonts w:ascii="Calibri" w:hAnsi="Calibri"/>
                <w:sz w:val="22"/>
                <w:szCs w:val="22"/>
              </w:rPr>
            </w:pPr>
            <w:r w:rsidRPr="00E41614">
              <w:rPr>
                <w:rFonts w:ascii="Calibri" w:hAnsi="Calibri"/>
                <w:sz w:val="22"/>
                <w:szCs w:val="22"/>
              </w:rPr>
              <w:t>Republika Hrvatska</w:t>
            </w:r>
          </w:p>
        </w:tc>
        <w:tc>
          <w:tcPr>
            <w:tcW w:w="1603" w:type="dxa"/>
            <w:hideMark/>
          </w:tcPr>
          <w:p w14:paraId="6E230C60"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1459" w:type="dxa"/>
            <w:hideMark/>
          </w:tcPr>
          <w:p w14:paraId="519EA334" w14:textId="77777777" w:rsidR="00E41614" w:rsidRPr="00E41614" w:rsidRDefault="00E41614" w:rsidP="00F667BE">
            <w:pPr>
              <w:jc w:val="center"/>
              <w:rPr>
                <w:rFonts w:ascii="Calibri" w:hAnsi="Calibri"/>
                <w:sz w:val="22"/>
                <w:szCs w:val="22"/>
              </w:rPr>
            </w:pPr>
            <w:r w:rsidRPr="00E41614">
              <w:rPr>
                <w:rFonts w:ascii="Calibri" w:hAnsi="Calibri"/>
                <w:sz w:val="22"/>
                <w:szCs w:val="22"/>
              </w:rPr>
              <w:t>ne</w:t>
            </w:r>
          </w:p>
        </w:tc>
        <w:tc>
          <w:tcPr>
            <w:tcW w:w="2866" w:type="dxa"/>
            <w:hideMark/>
          </w:tcPr>
          <w:p w14:paraId="4DE7E41F" w14:textId="77777777" w:rsidR="00E41614" w:rsidRPr="00E41614" w:rsidRDefault="00E41614">
            <w:pPr>
              <w:rPr>
                <w:rFonts w:ascii="Calibri" w:hAnsi="Calibri"/>
                <w:sz w:val="22"/>
                <w:szCs w:val="22"/>
              </w:rPr>
            </w:pPr>
            <w:r w:rsidRPr="00E41614">
              <w:rPr>
                <w:rFonts w:ascii="Calibri" w:hAnsi="Calibri"/>
                <w:sz w:val="22"/>
                <w:szCs w:val="22"/>
              </w:rPr>
              <w:t>Uprava pomorstva</w:t>
            </w:r>
          </w:p>
        </w:tc>
        <w:tc>
          <w:tcPr>
            <w:tcW w:w="3059" w:type="dxa"/>
            <w:hideMark/>
          </w:tcPr>
          <w:p w14:paraId="5427581F" w14:textId="77777777" w:rsidR="00E41614" w:rsidRPr="00E41614" w:rsidRDefault="0074387A">
            <w:pPr>
              <w:rPr>
                <w:rFonts w:ascii="Calibri" w:hAnsi="Calibri"/>
                <w:sz w:val="22"/>
                <w:szCs w:val="22"/>
                <w:u w:val="single"/>
              </w:rPr>
            </w:pPr>
            <w:hyperlink r:id="rId24" w:history="1">
              <w:r w:rsidR="00E41614" w:rsidRPr="00E41614">
                <w:rPr>
                  <w:rStyle w:val="Hiperveza"/>
                  <w:rFonts w:ascii="Calibri" w:hAnsi="Calibri"/>
                  <w:sz w:val="22"/>
                  <w:szCs w:val="22"/>
                </w:rPr>
                <w:t>LU Dubrovnik - Godišnja financijska izvješća</w:t>
              </w:r>
            </w:hyperlink>
          </w:p>
        </w:tc>
      </w:tr>
      <w:tr w:rsidR="000830AF" w:rsidRPr="00E41614" w14:paraId="7CC48647" w14:textId="77777777" w:rsidTr="000830AF">
        <w:trPr>
          <w:trHeight w:val="619"/>
        </w:trPr>
        <w:tc>
          <w:tcPr>
            <w:tcW w:w="610" w:type="dxa"/>
            <w:hideMark/>
          </w:tcPr>
          <w:p w14:paraId="4FE2B4F6" w14:textId="7B2C2D4A" w:rsidR="00E41614" w:rsidRPr="00E41614" w:rsidRDefault="00E41614" w:rsidP="00E41614">
            <w:pPr>
              <w:rPr>
                <w:rFonts w:ascii="Calibri" w:hAnsi="Calibri"/>
                <w:sz w:val="22"/>
                <w:szCs w:val="22"/>
              </w:rPr>
            </w:pPr>
            <w:r w:rsidRPr="00E41614">
              <w:rPr>
                <w:rFonts w:ascii="Calibri" w:hAnsi="Calibri"/>
                <w:sz w:val="22"/>
                <w:szCs w:val="22"/>
              </w:rPr>
              <w:t>11</w:t>
            </w:r>
            <w:r w:rsidR="002A59D8">
              <w:rPr>
                <w:rFonts w:ascii="Calibri" w:hAnsi="Calibri"/>
                <w:sz w:val="22"/>
                <w:szCs w:val="22"/>
              </w:rPr>
              <w:t>.</w:t>
            </w:r>
          </w:p>
        </w:tc>
        <w:tc>
          <w:tcPr>
            <w:tcW w:w="3670" w:type="dxa"/>
            <w:hideMark/>
          </w:tcPr>
          <w:p w14:paraId="474528B1" w14:textId="77777777" w:rsidR="00E41614" w:rsidRPr="00E41614" w:rsidRDefault="00E41614">
            <w:pPr>
              <w:rPr>
                <w:rFonts w:ascii="Calibri" w:hAnsi="Calibri"/>
                <w:sz w:val="22"/>
                <w:szCs w:val="22"/>
              </w:rPr>
            </w:pPr>
            <w:r w:rsidRPr="00E41614">
              <w:rPr>
                <w:rFonts w:ascii="Calibri" w:hAnsi="Calibri"/>
                <w:sz w:val="22"/>
                <w:szCs w:val="22"/>
              </w:rPr>
              <w:t>Lučka uprava Šibenik</w:t>
            </w:r>
          </w:p>
        </w:tc>
        <w:tc>
          <w:tcPr>
            <w:tcW w:w="3418" w:type="dxa"/>
            <w:hideMark/>
          </w:tcPr>
          <w:p w14:paraId="4336FAA6" w14:textId="77777777" w:rsidR="00E41614" w:rsidRPr="00E41614" w:rsidRDefault="00E41614">
            <w:pPr>
              <w:rPr>
                <w:rFonts w:ascii="Calibri" w:hAnsi="Calibri"/>
                <w:sz w:val="22"/>
                <w:szCs w:val="22"/>
              </w:rPr>
            </w:pPr>
            <w:r w:rsidRPr="00E41614">
              <w:rPr>
                <w:rFonts w:ascii="Calibri" w:hAnsi="Calibri"/>
                <w:sz w:val="22"/>
                <w:szCs w:val="22"/>
              </w:rPr>
              <w:t>Obala hrvatske mornarice 4, Šibenik</w:t>
            </w:r>
          </w:p>
        </w:tc>
        <w:tc>
          <w:tcPr>
            <w:tcW w:w="1653" w:type="dxa"/>
            <w:hideMark/>
          </w:tcPr>
          <w:p w14:paraId="2F3A7ECF" w14:textId="77777777" w:rsidR="00E41614" w:rsidRPr="00E41614" w:rsidRDefault="00E41614" w:rsidP="00E41614">
            <w:pPr>
              <w:rPr>
                <w:rFonts w:ascii="Calibri" w:hAnsi="Calibri"/>
                <w:sz w:val="22"/>
                <w:szCs w:val="22"/>
              </w:rPr>
            </w:pPr>
            <w:r w:rsidRPr="00E41614">
              <w:rPr>
                <w:rFonts w:ascii="Calibri" w:hAnsi="Calibri"/>
                <w:sz w:val="22"/>
                <w:szCs w:val="22"/>
              </w:rPr>
              <w:t>98609040957</w:t>
            </w:r>
          </w:p>
        </w:tc>
        <w:tc>
          <w:tcPr>
            <w:tcW w:w="1014" w:type="dxa"/>
            <w:hideMark/>
          </w:tcPr>
          <w:p w14:paraId="721F9021" w14:textId="77777777" w:rsidR="00E41614" w:rsidRPr="00E41614" w:rsidRDefault="00E41614" w:rsidP="00E41614">
            <w:pPr>
              <w:rPr>
                <w:rFonts w:ascii="Calibri" w:hAnsi="Calibri"/>
                <w:sz w:val="22"/>
                <w:szCs w:val="22"/>
              </w:rPr>
            </w:pPr>
            <w:r w:rsidRPr="00E41614">
              <w:rPr>
                <w:rFonts w:ascii="Calibri" w:hAnsi="Calibri"/>
                <w:sz w:val="22"/>
                <w:szCs w:val="22"/>
              </w:rPr>
              <w:t>ustanova</w:t>
            </w:r>
          </w:p>
        </w:tc>
        <w:tc>
          <w:tcPr>
            <w:tcW w:w="2322" w:type="dxa"/>
            <w:hideMark/>
          </w:tcPr>
          <w:p w14:paraId="3FE94663" w14:textId="77777777" w:rsidR="00E41614" w:rsidRPr="00E41614" w:rsidRDefault="00E41614">
            <w:pPr>
              <w:rPr>
                <w:rFonts w:ascii="Calibri" w:hAnsi="Calibri"/>
                <w:sz w:val="22"/>
                <w:szCs w:val="22"/>
              </w:rPr>
            </w:pPr>
            <w:r w:rsidRPr="00E41614">
              <w:rPr>
                <w:rFonts w:ascii="Calibri" w:hAnsi="Calibri"/>
                <w:sz w:val="22"/>
                <w:szCs w:val="22"/>
              </w:rPr>
              <w:t>Republika Hrvatska</w:t>
            </w:r>
          </w:p>
        </w:tc>
        <w:tc>
          <w:tcPr>
            <w:tcW w:w="1603" w:type="dxa"/>
            <w:hideMark/>
          </w:tcPr>
          <w:p w14:paraId="733E1C4D"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1459" w:type="dxa"/>
            <w:hideMark/>
          </w:tcPr>
          <w:p w14:paraId="30D0BC18" w14:textId="77777777" w:rsidR="00E41614" w:rsidRPr="00E41614" w:rsidRDefault="00E41614" w:rsidP="00F667BE">
            <w:pPr>
              <w:jc w:val="center"/>
              <w:rPr>
                <w:rFonts w:ascii="Calibri" w:hAnsi="Calibri"/>
                <w:sz w:val="22"/>
                <w:szCs w:val="22"/>
              </w:rPr>
            </w:pPr>
            <w:r w:rsidRPr="00E41614">
              <w:rPr>
                <w:rFonts w:ascii="Calibri" w:hAnsi="Calibri"/>
                <w:sz w:val="22"/>
                <w:szCs w:val="22"/>
              </w:rPr>
              <w:t>ne</w:t>
            </w:r>
          </w:p>
        </w:tc>
        <w:tc>
          <w:tcPr>
            <w:tcW w:w="2866" w:type="dxa"/>
            <w:hideMark/>
          </w:tcPr>
          <w:p w14:paraId="52CCC3F4" w14:textId="77777777" w:rsidR="00E41614" w:rsidRPr="00E41614" w:rsidRDefault="00E41614">
            <w:pPr>
              <w:rPr>
                <w:rFonts w:ascii="Calibri" w:hAnsi="Calibri"/>
                <w:sz w:val="22"/>
                <w:szCs w:val="22"/>
              </w:rPr>
            </w:pPr>
            <w:r w:rsidRPr="00E41614">
              <w:rPr>
                <w:rFonts w:ascii="Calibri" w:hAnsi="Calibri"/>
                <w:sz w:val="22"/>
                <w:szCs w:val="22"/>
              </w:rPr>
              <w:t>Uprava pomorstva</w:t>
            </w:r>
          </w:p>
        </w:tc>
        <w:tc>
          <w:tcPr>
            <w:tcW w:w="3059" w:type="dxa"/>
            <w:hideMark/>
          </w:tcPr>
          <w:p w14:paraId="14863C50" w14:textId="77777777" w:rsidR="00E41614" w:rsidRPr="00E41614" w:rsidRDefault="0074387A">
            <w:pPr>
              <w:rPr>
                <w:rFonts w:ascii="Calibri" w:hAnsi="Calibri"/>
                <w:sz w:val="22"/>
                <w:szCs w:val="22"/>
                <w:u w:val="single"/>
              </w:rPr>
            </w:pPr>
            <w:hyperlink r:id="rId25" w:history="1">
              <w:r w:rsidR="00E41614" w:rsidRPr="00E41614">
                <w:rPr>
                  <w:rStyle w:val="Hiperveza"/>
                  <w:rFonts w:ascii="Calibri" w:hAnsi="Calibri"/>
                  <w:sz w:val="22"/>
                  <w:szCs w:val="22"/>
                </w:rPr>
                <w:t>LU Šibenik - Godišnja financijska izvješća</w:t>
              </w:r>
            </w:hyperlink>
          </w:p>
        </w:tc>
      </w:tr>
      <w:tr w:rsidR="000830AF" w:rsidRPr="00E41614" w14:paraId="27ED9664" w14:textId="77777777" w:rsidTr="000830AF">
        <w:trPr>
          <w:trHeight w:val="619"/>
        </w:trPr>
        <w:tc>
          <w:tcPr>
            <w:tcW w:w="610" w:type="dxa"/>
            <w:hideMark/>
          </w:tcPr>
          <w:p w14:paraId="1A603AFF" w14:textId="237044EA" w:rsidR="00E41614" w:rsidRPr="00E41614" w:rsidRDefault="00E41614" w:rsidP="00E41614">
            <w:pPr>
              <w:rPr>
                <w:rFonts w:ascii="Calibri" w:hAnsi="Calibri"/>
                <w:sz w:val="22"/>
                <w:szCs w:val="22"/>
              </w:rPr>
            </w:pPr>
            <w:r w:rsidRPr="00E41614">
              <w:rPr>
                <w:rFonts w:ascii="Calibri" w:hAnsi="Calibri"/>
                <w:sz w:val="22"/>
                <w:szCs w:val="22"/>
              </w:rPr>
              <w:t>12</w:t>
            </w:r>
            <w:r w:rsidR="002A59D8">
              <w:rPr>
                <w:rFonts w:ascii="Calibri" w:hAnsi="Calibri"/>
                <w:sz w:val="22"/>
                <w:szCs w:val="22"/>
              </w:rPr>
              <w:t>.</w:t>
            </w:r>
          </w:p>
        </w:tc>
        <w:tc>
          <w:tcPr>
            <w:tcW w:w="3670" w:type="dxa"/>
            <w:hideMark/>
          </w:tcPr>
          <w:p w14:paraId="78C3FD02" w14:textId="77777777" w:rsidR="00E41614" w:rsidRPr="00E41614" w:rsidRDefault="00E41614">
            <w:pPr>
              <w:rPr>
                <w:rFonts w:ascii="Calibri" w:hAnsi="Calibri"/>
                <w:sz w:val="22"/>
                <w:szCs w:val="22"/>
              </w:rPr>
            </w:pPr>
            <w:r w:rsidRPr="00E41614">
              <w:rPr>
                <w:rFonts w:ascii="Calibri" w:hAnsi="Calibri"/>
                <w:sz w:val="22"/>
                <w:szCs w:val="22"/>
              </w:rPr>
              <w:t>Javna ustanova Lučka uprava Osijek</w:t>
            </w:r>
          </w:p>
        </w:tc>
        <w:tc>
          <w:tcPr>
            <w:tcW w:w="3418" w:type="dxa"/>
            <w:hideMark/>
          </w:tcPr>
          <w:p w14:paraId="11CE34A9" w14:textId="77777777" w:rsidR="00E41614" w:rsidRPr="00E41614" w:rsidRDefault="00E41614">
            <w:pPr>
              <w:rPr>
                <w:rFonts w:ascii="Calibri" w:hAnsi="Calibri"/>
                <w:sz w:val="22"/>
                <w:szCs w:val="22"/>
              </w:rPr>
            </w:pPr>
            <w:r w:rsidRPr="00E41614">
              <w:rPr>
                <w:rFonts w:ascii="Calibri" w:hAnsi="Calibri"/>
                <w:sz w:val="22"/>
                <w:szCs w:val="22"/>
              </w:rPr>
              <w:t xml:space="preserve">Šetalište Kardinala F. </w:t>
            </w:r>
            <w:proofErr w:type="spellStart"/>
            <w:r w:rsidRPr="00E41614">
              <w:rPr>
                <w:rFonts w:ascii="Calibri" w:hAnsi="Calibri"/>
                <w:sz w:val="22"/>
                <w:szCs w:val="22"/>
              </w:rPr>
              <w:t>Šeper</w:t>
            </w:r>
            <w:proofErr w:type="spellEnd"/>
            <w:r w:rsidRPr="00E41614">
              <w:rPr>
                <w:rFonts w:ascii="Calibri" w:hAnsi="Calibri"/>
                <w:sz w:val="22"/>
                <w:szCs w:val="22"/>
              </w:rPr>
              <w:t xml:space="preserve"> 6, Osijek</w:t>
            </w:r>
          </w:p>
        </w:tc>
        <w:tc>
          <w:tcPr>
            <w:tcW w:w="1653" w:type="dxa"/>
            <w:hideMark/>
          </w:tcPr>
          <w:p w14:paraId="2EC6DF7C" w14:textId="77777777" w:rsidR="00E41614" w:rsidRPr="00E41614" w:rsidRDefault="00E41614" w:rsidP="00E41614">
            <w:pPr>
              <w:rPr>
                <w:rFonts w:ascii="Calibri" w:hAnsi="Calibri"/>
                <w:sz w:val="22"/>
                <w:szCs w:val="22"/>
              </w:rPr>
            </w:pPr>
            <w:r w:rsidRPr="00E41614">
              <w:rPr>
                <w:rFonts w:ascii="Calibri" w:hAnsi="Calibri"/>
                <w:sz w:val="22"/>
                <w:szCs w:val="22"/>
              </w:rPr>
              <w:t>78159614650</w:t>
            </w:r>
          </w:p>
        </w:tc>
        <w:tc>
          <w:tcPr>
            <w:tcW w:w="1014" w:type="dxa"/>
            <w:hideMark/>
          </w:tcPr>
          <w:p w14:paraId="1E785258" w14:textId="77777777" w:rsidR="00E41614" w:rsidRPr="00E41614" w:rsidRDefault="00E41614" w:rsidP="00E41614">
            <w:pPr>
              <w:rPr>
                <w:rFonts w:ascii="Calibri" w:hAnsi="Calibri"/>
                <w:sz w:val="22"/>
                <w:szCs w:val="22"/>
              </w:rPr>
            </w:pPr>
            <w:r w:rsidRPr="00E41614">
              <w:rPr>
                <w:rFonts w:ascii="Calibri" w:hAnsi="Calibri"/>
                <w:sz w:val="22"/>
                <w:szCs w:val="22"/>
              </w:rPr>
              <w:t>ustanova</w:t>
            </w:r>
          </w:p>
        </w:tc>
        <w:tc>
          <w:tcPr>
            <w:tcW w:w="2322" w:type="dxa"/>
            <w:hideMark/>
          </w:tcPr>
          <w:p w14:paraId="08FBB996" w14:textId="77777777" w:rsidR="00E41614" w:rsidRPr="00E41614" w:rsidRDefault="00E41614">
            <w:pPr>
              <w:rPr>
                <w:rFonts w:ascii="Calibri" w:hAnsi="Calibri"/>
                <w:sz w:val="22"/>
                <w:szCs w:val="22"/>
              </w:rPr>
            </w:pPr>
            <w:r w:rsidRPr="00E41614">
              <w:rPr>
                <w:rFonts w:ascii="Calibri" w:hAnsi="Calibri"/>
                <w:sz w:val="22"/>
                <w:szCs w:val="22"/>
              </w:rPr>
              <w:t>Republika Hrvatska</w:t>
            </w:r>
          </w:p>
        </w:tc>
        <w:tc>
          <w:tcPr>
            <w:tcW w:w="1603" w:type="dxa"/>
            <w:hideMark/>
          </w:tcPr>
          <w:p w14:paraId="3C0B6B23"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1459" w:type="dxa"/>
            <w:hideMark/>
          </w:tcPr>
          <w:p w14:paraId="1D19E7AC" w14:textId="77777777" w:rsidR="00E41614" w:rsidRPr="00E41614" w:rsidRDefault="00E41614" w:rsidP="00F667BE">
            <w:pPr>
              <w:jc w:val="center"/>
              <w:rPr>
                <w:rFonts w:ascii="Calibri" w:hAnsi="Calibri"/>
                <w:sz w:val="22"/>
                <w:szCs w:val="22"/>
              </w:rPr>
            </w:pPr>
            <w:r w:rsidRPr="00E41614">
              <w:rPr>
                <w:rFonts w:ascii="Calibri" w:hAnsi="Calibri"/>
                <w:sz w:val="22"/>
                <w:szCs w:val="22"/>
              </w:rPr>
              <w:t>ne</w:t>
            </w:r>
          </w:p>
        </w:tc>
        <w:tc>
          <w:tcPr>
            <w:tcW w:w="2866" w:type="dxa"/>
            <w:hideMark/>
          </w:tcPr>
          <w:p w14:paraId="05D96FAE" w14:textId="77777777" w:rsidR="00E41614" w:rsidRPr="00E41614" w:rsidRDefault="00E41614">
            <w:pPr>
              <w:rPr>
                <w:rFonts w:ascii="Calibri" w:hAnsi="Calibri"/>
                <w:sz w:val="22"/>
                <w:szCs w:val="22"/>
              </w:rPr>
            </w:pPr>
            <w:r w:rsidRPr="00E41614">
              <w:rPr>
                <w:rFonts w:ascii="Calibri" w:hAnsi="Calibri"/>
                <w:sz w:val="22"/>
                <w:szCs w:val="22"/>
              </w:rPr>
              <w:t>Uprava unutarnje plovidbe</w:t>
            </w:r>
          </w:p>
        </w:tc>
        <w:tc>
          <w:tcPr>
            <w:tcW w:w="3059" w:type="dxa"/>
            <w:hideMark/>
          </w:tcPr>
          <w:p w14:paraId="019E108D" w14:textId="77777777" w:rsidR="00E41614" w:rsidRPr="00E41614" w:rsidRDefault="0074387A">
            <w:pPr>
              <w:rPr>
                <w:rFonts w:ascii="Calibri" w:hAnsi="Calibri"/>
                <w:sz w:val="22"/>
                <w:szCs w:val="22"/>
                <w:u w:val="single"/>
              </w:rPr>
            </w:pPr>
            <w:hyperlink r:id="rId26" w:history="1">
              <w:r w:rsidR="00E41614" w:rsidRPr="00E41614">
                <w:rPr>
                  <w:rStyle w:val="Hiperveza"/>
                  <w:rFonts w:ascii="Calibri" w:hAnsi="Calibri"/>
                  <w:sz w:val="22"/>
                  <w:szCs w:val="22"/>
                </w:rPr>
                <w:t>LU Osijek - Godišnja financijska izvješća</w:t>
              </w:r>
            </w:hyperlink>
          </w:p>
        </w:tc>
      </w:tr>
      <w:tr w:rsidR="000830AF" w:rsidRPr="00E41614" w14:paraId="4A1C96BA" w14:textId="77777777" w:rsidTr="000830AF">
        <w:trPr>
          <w:trHeight w:val="619"/>
        </w:trPr>
        <w:tc>
          <w:tcPr>
            <w:tcW w:w="610" w:type="dxa"/>
            <w:hideMark/>
          </w:tcPr>
          <w:p w14:paraId="60AF3166" w14:textId="7B2DEB2F" w:rsidR="00E41614" w:rsidRPr="00E41614" w:rsidRDefault="00E41614" w:rsidP="00E41614">
            <w:pPr>
              <w:rPr>
                <w:rFonts w:ascii="Calibri" w:hAnsi="Calibri"/>
                <w:sz w:val="22"/>
                <w:szCs w:val="22"/>
              </w:rPr>
            </w:pPr>
            <w:r w:rsidRPr="00E41614">
              <w:rPr>
                <w:rFonts w:ascii="Calibri" w:hAnsi="Calibri"/>
                <w:sz w:val="22"/>
                <w:szCs w:val="22"/>
              </w:rPr>
              <w:t>13</w:t>
            </w:r>
            <w:r w:rsidR="002A59D8">
              <w:rPr>
                <w:rFonts w:ascii="Calibri" w:hAnsi="Calibri"/>
                <w:sz w:val="22"/>
                <w:szCs w:val="22"/>
              </w:rPr>
              <w:t>.</w:t>
            </w:r>
          </w:p>
        </w:tc>
        <w:tc>
          <w:tcPr>
            <w:tcW w:w="3670" w:type="dxa"/>
            <w:hideMark/>
          </w:tcPr>
          <w:p w14:paraId="3C070ECD" w14:textId="77777777" w:rsidR="00E41614" w:rsidRPr="00E41614" w:rsidRDefault="00E41614">
            <w:pPr>
              <w:rPr>
                <w:rFonts w:ascii="Calibri" w:hAnsi="Calibri"/>
                <w:sz w:val="22"/>
                <w:szCs w:val="22"/>
              </w:rPr>
            </w:pPr>
            <w:r w:rsidRPr="00E41614">
              <w:rPr>
                <w:rFonts w:ascii="Calibri" w:hAnsi="Calibri"/>
                <w:sz w:val="22"/>
                <w:szCs w:val="22"/>
              </w:rPr>
              <w:t>Javna ustanova Lučka uprava Vukovar</w:t>
            </w:r>
          </w:p>
        </w:tc>
        <w:tc>
          <w:tcPr>
            <w:tcW w:w="3418" w:type="dxa"/>
            <w:hideMark/>
          </w:tcPr>
          <w:p w14:paraId="75CFB07A" w14:textId="77777777" w:rsidR="00E41614" w:rsidRPr="00E41614" w:rsidRDefault="00E41614">
            <w:pPr>
              <w:rPr>
                <w:rFonts w:ascii="Calibri" w:hAnsi="Calibri"/>
                <w:sz w:val="22"/>
                <w:szCs w:val="22"/>
              </w:rPr>
            </w:pPr>
            <w:r w:rsidRPr="00E41614">
              <w:rPr>
                <w:rFonts w:ascii="Calibri" w:hAnsi="Calibri"/>
                <w:sz w:val="22"/>
                <w:szCs w:val="22"/>
              </w:rPr>
              <w:t>Parobrodarska 5, Vukovar</w:t>
            </w:r>
          </w:p>
        </w:tc>
        <w:tc>
          <w:tcPr>
            <w:tcW w:w="1653" w:type="dxa"/>
            <w:hideMark/>
          </w:tcPr>
          <w:p w14:paraId="3BB228A3" w14:textId="77777777" w:rsidR="00E41614" w:rsidRPr="00E41614" w:rsidRDefault="00E41614" w:rsidP="00E41614">
            <w:pPr>
              <w:rPr>
                <w:rFonts w:ascii="Calibri" w:hAnsi="Calibri"/>
                <w:sz w:val="22"/>
                <w:szCs w:val="22"/>
              </w:rPr>
            </w:pPr>
            <w:r w:rsidRPr="00E41614">
              <w:rPr>
                <w:rFonts w:ascii="Calibri" w:hAnsi="Calibri"/>
                <w:sz w:val="22"/>
                <w:szCs w:val="22"/>
              </w:rPr>
              <w:t>43504091006</w:t>
            </w:r>
          </w:p>
        </w:tc>
        <w:tc>
          <w:tcPr>
            <w:tcW w:w="1014" w:type="dxa"/>
            <w:hideMark/>
          </w:tcPr>
          <w:p w14:paraId="3CCDD9D8" w14:textId="77777777" w:rsidR="00E41614" w:rsidRPr="00E41614" w:rsidRDefault="00E41614" w:rsidP="00E41614">
            <w:pPr>
              <w:rPr>
                <w:rFonts w:ascii="Calibri" w:hAnsi="Calibri"/>
                <w:sz w:val="22"/>
                <w:szCs w:val="22"/>
              </w:rPr>
            </w:pPr>
            <w:r w:rsidRPr="00E41614">
              <w:rPr>
                <w:rFonts w:ascii="Calibri" w:hAnsi="Calibri"/>
                <w:sz w:val="22"/>
                <w:szCs w:val="22"/>
              </w:rPr>
              <w:t>ustanova</w:t>
            </w:r>
          </w:p>
        </w:tc>
        <w:tc>
          <w:tcPr>
            <w:tcW w:w="2322" w:type="dxa"/>
            <w:hideMark/>
          </w:tcPr>
          <w:p w14:paraId="402B0B23" w14:textId="77777777" w:rsidR="00E41614" w:rsidRPr="00E41614" w:rsidRDefault="00E41614">
            <w:pPr>
              <w:rPr>
                <w:rFonts w:ascii="Calibri" w:hAnsi="Calibri"/>
                <w:sz w:val="22"/>
                <w:szCs w:val="22"/>
              </w:rPr>
            </w:pPr>
            <w:r w:rsidRPr="00E41614">
              <w:rPr>
                <w:rFonts w:ascii="Calibri" w:hAnsi="Calibri"/>
                <w:sz w:val="22"/>
                <w:szCs w:val="22"/>
              </w:rPr>
              <w:t>Republika Hrvatska</w:t>
            </w:r>
          </w:p>
        </w:tc>
        <w:tc>
          <w:tcPr>
            <w:tcW w:w="1603" w:type="dxa"/>
            <w:hideMark/>
          </w:tcPr>
          <w:p w14:paraId="4E57051F"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1459" w:type="dxa"/>
            <w:hideMark/>
          </w:tcPr>
          <w:p w14:paraId="7B6C5412" w14:textId="77777777" w:rsidR="00E41614" w:rsidRPr="00E41614" w:rsidRDefault="00E41614" w:rsidP="00F667BE">
            <w:pPr>
              <w:jc w:val="center"/>
              <w:rPr>
                <w:rFonts w:ascii="Calibri" w:hAnsi="Calibri"/>
                <w:sz w:val="22"/>
                <w:szCs w:val="22"/>
              </w:rPr>
            </w:pPr>
            <w:r w:rsidRPr="00E41614">
              <w:rPr>
                <w:rFonts w:ascii="Calibri" w:hAnsi="Calibri"/>
                <w:sz w:val="22"/>
                <w:szCs w:val="22"/>
              </w:rPr>
              <w:t>ne</w:t>
            </w:r>
          </w:p>
        </w:tc>
        <w:tc>
          <w:tcPr>
            <w:tcW w:w="2866" w:type="dxa"/>
            <w:hideMark/>
          </w:tcPr>
          <w:p w14:paraId="05E22044" w14:textId="77777777" w:rsidR="00E41614" w:rsidRPr="00E41614" w:rsidRDefault="00E41614">
            <w:pPr>
              <w:rPr>
                <w:rFonts w:ascii="Calibri" w:hAnsi="Calibri"/>
                <w:sz w:val="22"/>
                <w:szCs w:val="22"/>
              </w:rPr>
            </w:pPr>
            <w:r w:rsidRPr="00E41614">
              <w:rPr>
                <w:rFonts w:ascii="Calibri" w:hAnsi="Calibri"/>
                <w:sz w:val="22"/>
                <w:szCs w:val="22"/>
              </w:rPr>
              <w:t>Uprava unutarnje plovidbe</w:t>
            </w:r>
          </w:p>
        </w:tc>
        <w:tc>
          <w:tcPr>
            <w:tcW w:w="3059" w:type="dxa"/>
            <w:hideMark/>
          </w:tcPr>
          <w:p w14:paraId="4EFC8F91" w14:textId="77777777" w:rsidR="00E41614" w:rsidRPr="00E41614" w:rsidRDefault="0074387A">
            <w:pPr>
              <w:rPr>
                <w:rFonts w:ascii="Calibri" w:hAnsi="Calibri"/>
                <w:sz w:val="22"/>
                <w:szCs w:val="22"/>
                <w:u w:val="single"/>
              </w:rPr>
            </w:pPr>
            <w:hyperlink r:id="rId27" w:history="1">
              <w:r w:rsidR="00E41614" w:rsidRPr="00E41614">
                <w:rPr>
                  <w:rStyle w:val="Hiperveza"/>
                  <w:rFonts w:ascii="Calibri" w:hAnsi="Calibri"/>
                  <w:sz w:val="22"/>
                  <w:szCs w:val="22"/>
                </w:rPr>
                <w:t>LU Vukovar - Godišnji financijski izvještaj</w:t>
              </w:r>
            </w:hyperlink>
          </w:p>
        </w:tc>
      </w:tr>
      <w:tr w:rsidR="000830AF" w:rsidRPr="00E41614" w14:paraId="4FB52AFB" w14:textId="77777777" w:rsidTr="000830AF">
        <w:trPr>
          <w:trHeight w:val="619"/>
        </w:trPr>
        <w:tc>
          <w:tcPr>
            <w:tcW w:w="610" w:type="dxa"/>
            <w:hideMark/>
          </w:tcPr>
          <w:p w14:paraId="45CF2A5F" w14:textId="5365AADE" w:rsidR="00E41614" w:rsidRPr="00E41614" w:rsidRDefault="00E41614" w:rsidP="00E41614">
            <w:pPr>
              <w:rPr>
                <w:rFonts w:ascii="Calibri" w:hAnsi="Calibri"/>
                <w:sz w:val="22"/>
                <w:szCs w:val="22"/>
              </w:rPr>
            </w:pPr>
            <w:r w:rsidRPr="00E41614">
              <w:rPr>
                <w:rFonts w:ascii="Calibri" w:hAnsi="Calibri"/>
                <w:sz w:val="22"/>
                <w:szCs w:val="22"/>
              </w:rPr>
              <w:t>14</w:t>
            </w:r>
            <w:r w:rsidR="002A59D8">
              <w:rPr>
                <w:rFonts w:ascii="Calibri" w:hAnsi="Calibri"/>
                <w:sz w:val="22"/>
                <w:szCs w:val="22"/>
              </w:rPr>
              <w:t>.</w:t>
            </w:r>
          </w:p>
        </w:tc>
        <w:tc>
          <w:tcPr>
            <w:tcW w:w="3670" w:type="dxa"/>
            <w:hideMark/>
          </w:tcPr>
          <w:p w14:paraId="37995F52" w14:textId="77777777" w:rsidR="00E41614" w:rsidRPr="00E41614" w:rsidRDefault="00E41614">
            <w:pPr>
              <w:rPr>
                <w:rFonts w:ascii="Calibri" w:hAnsi="Calibri"/>
                <w:sz w:val="22"/>
                <w:szCs w:val="22"/>
              </w:rPr>
            </w:pPr>
            <w:r w:rsidRPr="00E41614">
              <w:rPr>
                <w:rFonts w:ascii="Calibri" w:hAnsi="Calibri"/>
                <w:sz w:val="22"/>
                <w:szCs w:val="22"/>
              </w:rPr>
              <w:t>Javna ustanova Lučka uprava Sisak</w:t>
            </w:r>
          </w:p>
        </w:tc>
        <w:tc>
          <w:tcPr>
            <w:tcW w:w="3418" w:type="dxa"/>
            <w:hideMark/>
          </w:tcPr>
          <w:p w14:paraId="11EA9A58" w14:textId="77777777" w:rsidR="00E41614" w:rsidRPr="00E41614" w:rsidRDefault="00E41614">
            <w:pPr>
              <w:rPr>
                <w:rFonts w:ascii="Calibri" w:hAnsi="Calibri"/>
                <w:sz w:val="22"/>
                <w:szCs w:val="22"/>
              </w:rPr>
            </w:pPr>
            <w:r w:rsidRPr="00E41614">
              <w:rPr>
                <w:rFonts w:ascii="Calibri" w:hAnsi="Calibri"/>
                <w:sz w:val="22"/>
                <w:szCs w:val="22"/>
              </w:rPr>
              <w:t>Rimska 28, Sisak</w:t>
            </w:r>
          </w:p>
        </w:tc>
        <w:tc>
          <w:tcPr>
            <w:tcW w:w="1653" w:type="dxa"/>
            <w:hideMark/>
          </w:tcPr>
          <w:p w14:paraId="702FD55E" w14:textId="77777777" w:rsidR="00E41614" w:rsidRPr="00E41614" w:rsidRDefault="00E41614" w:rsidP="00E41614">
            <w:pPr>
              <w:rPr>
                <w:rFonts w:ascii="Calibri" w:hAnsi="Calibri"/>
                <w:sz w:val="22"/>
                <w:szCs w:val="22"/>
              </w:rPr>
            </w:pPr>
            <w:r w:rsidRPr="00E41614">
              <w:rPr>
                <w:rFonts w:ascii="Calibri" w:hAnsi="Calibri"/>
                <w:sz w:val="22"/>
                <w:szCs w:val="22"/>
              </w:rPr>
              <w:t>80303023744</w:t>
            </w:r>
          </w:p>
        </w:tc>
        <w:tc>
          <w:tcPr>
            <w:tcW w:w="1014" w:type="dxa"/>
            <w:hideMark/>
          </w:tcPr>
          <w:p w14:paraId="76196836" w14:textId="77777777" w:rsidR="00E41614" w:rsidRPr="00E41614" w:rsidRDefault="00E41614" w:rsidP="00E41614">
            <w:pPr>
              <w:rPr>
                <w:rFonts w:ascii="Calibri" w:hAnsi="Calibri"/>
                <w:sz w:val="22"/>
                <w:szCs w:val="22"/>
              </w:rPr>
            </w:pPr>
            <w:r w:rsidRPr="00E41614">
              <w:rPr>
                <w:rFonts w:ascii="Calibri" w:hAnsi="Calibri"/>
                <w:sz w:val="22"/>
                <w:szCs w:val="22"/>
              </w:rPr>
              <w:t>ustanova</w:t>
            </w:r>
          </w:p>
        </w:tc>
        <w:tc>
          <w:tcPr>
            <w:tcW w:w="2322" w:type="dxa"/>
            <w:hideMark/>
          </w:tcPr>
          <w:p w14:paraId="47BFE391" w14:textId="77777777" w:rsidR="00E41614" w:rsidRPr="00E41614" w:rsidRDefault="00E41614">
            <w:pPr>
              <w:rPr>
                <w:rFonts w:ascii="Calibri" w:hAnsi="Calibri"/>
                <w:sz w:val="22"/>
                <w:szCs w:val="22"/>
              </w:rPr>
            </w:pPr>
            <w:r w:rsidRPr="00E41614">
              <w:rPr>
                <w:rFonts w:ascii="Calibri" w:hAnsi="Calibri"/>
                <w:sz w:val="22"/>
                <w:szCs w:val="22"/>
              </w:rPr>
              <w:t>Republika Hrvatska</w:t>
            </w:r>
          </w:p>
        </w:tc>
        <w:tc>
          <w:tcPr>
            <w:tcW w:w="1603" w:type="dxa"/>
            <w:hideMark/>
          </w:tcPr>
          <w:p w14:paraId="278A0692"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1459" w:type="dxa"/>
            <w:hideMark/>
          </w:tcPr>
          <w:p w14:paraId="752AE128" w14:textId="77777777" w:rsidR="00E41614" w:rsidRPr="00E41614" w:rsidRDefault="00E41614" w:rsidP="00F667BE">
            <w:pPr>
              <w:jc w:val="center"/>
              <w:rPr>
                <w:rFonts w:ascii="Calibri" w:hAnsi="Calibri"/>
                <w:sz w:val="22"/>
                <w:szCs w:val="22"/>
              </w:rPr>
            </w:pPr>
            <w:r w:rsidRPr="00E41614">
              <w:rPr>
                <w:rFonts w:ascii="Calibri" w:hAnsi="Calibri"/>
                <w:sz w:val="22"/>
                <w:szCs w:val="22"/>
              </w:rPr>
              <w:t>ne</w:t>
            </w:r>
          </w:p>
        </w:tc>
        <w:tc>
          <w:tcPr>
            <w:tcW w:w="2866" w:type="dxa"/>
            <w:hideMark/>
          </w:tcPr>
          <w:p w14:paraId="090CBEBC" w14:textId="77777777" w:rsidR="00E41614" w:rsidRPr="00E41614" w:rsidRDefault="00E41614">
            <w:pPr>
              <w:rPr>
                <w:rFonts w:ascii="Calibri" w:hAnsi="Calibri"/>
                <w:sz w:val="22"/>
                <w:szCs w:val="22"/>
              </w:rPr>
            </w:pPr>
            <w:r w:rsidRPr="00E41614">
              <w:rPr>
                <w:rFonts w:ascii="Calibri" w:hAnsi="Calibri"/>
                <w:sz w:val="22"/>
                <w:szCs w:val="22"/>
              </w:rPr>
              <w:t>Uprava unutarnje plovidbe</w:t>
            </w:r>
          </w:p>
        </w:tc>
        <w:tc>
          <w:tcPr>
            <w:tcW w:w="3059" w:type="dxa"/>
            <w:hideMark/>
          </w:tcPr>
          <w:p w14:paraId="48FDE7DF" w14:textId="77777777" w:rsidR="00E41614" w:rsidRPr="00E41614" w:rsidRDefault="0074387A">
            <w:pPr>
              <w:rPr>
                <w:rFonts w:ascii="Calibri" w:hAnsi="Calibri"/>
                <w:sz w:val="22"/>
                <w:szCs w:val="22"/>
                <w:u w:val="single"/>
              </w:rPr>
            </w:pPr>
            <w:hyperlink r:id="rId28" w:history="1">
              <w:r w:rsidR="00E41614" w:rsidRPr="00E41614">
                <w:rPr>
                  <w:rStyle w:val="Hiperveza"/>
                  <w:rFonts w:ascii="Calibri" w:hAnsi="Calibri"/>
                  <w:sz w:val="22"/>
                  <w:szCs w:val="22"/>
                </w:rPr>
                <w:t>LU Sisak - Godišnje izvješće o radu</w:t>
              </w:r>
            </w:hyperlink>
          </w:p>
        </w:tc>
      </w:tr>
      <w:tr w:rsidR="000830AF" w:rsidRPr="00E41614" w14:paraId="34D8B671" w14:textId="77777777" w:rsidTr="000830AF">
        <w:trPr>
          <w:trHeight w:val="619"/>
        </w:trPr>
        <w:tc>
          <w:tcPr>
            <w:tcW w:w="610" w:type="dxa"/>
            <w:hideMark/>
          </w:tcPr>
          <w:p w14:paraId="743EB845" w14:textId="102D5AC3" w:rsidR="00E41614" w:rsidRPr="00E41614" w:rsidRDefault="00E41614" w:rsidP="00E41614">
            <w:pPr>
              <w:rPr>
                <w:rFonts w:ascii="Calibri" w:hAnsi="Calibri"/>
                <w:sz w:val="22"/>
                <w:szCs w:val="22"/>
              </w:rPr>
            </w:pPr>
            <w:r w:rsidRPr="00E41614">
              <w:rPr>
                <w:rFonts w:ascii="Calibri" w:hAnsi="Calibri"/>
                <w:sz w:val="22"/>
                <w:szCs w:val="22"/>
              </w:rPr>
              <w:t>15</w:t>
            </w:r>
            <w:r w:rsidR="002A59D8">
              <w:rPr>
                <w:rFonts w:ascii="Calibri" w:hAnsi="Calibri"/>
                <w:sz w:val="22"/>
                <w:szCs w:val="22"/>
              </w:rPr>
              <w:t>.</w:t>
            </w:r>
          </w:p>
        </w:tc>
        <w:tc>
          <w:tcPr>
            <w:tcW w:w="3670" w:type="dxa"/>
            <w:hideMark/>
          </w:tcPr>
          <w:p w14:paraId="25302E26" w14:textId="77777777" w:rsidR="00E41614" w:rsidRPr="00E41614" w:rsidRDefault="00E41614">
            <w:pPr>
              <w:rPr>
                <w:rFonts w:ascii="Calibri" w:hAnsi="Calibri"/>
                <w:sz w:val="22"/>
                <w:szCs w:val="22"/>
              </w:rPr>
            </w:pPr>
            <w:r w:rsidRPr="00E41614">
              <w:rPr>
                <w:rFonts w:ascii="Calibri" w:hAnsi="Calibri"/>
                <w:sz w:val="22"/>
                <w:szCs w:val="22"/>
              </w:rPr>
              <w:t>Javna ustanova Lučka uprava Slavonski Brod</w:t>
            </w:r>
          </w:p>
        </w:tc>
        <w:tc>
          <w:tcPr>
            <w:tcW w:w="3418" w:type="dxa"/>
            <w:hideMark/>
          </w:tcPr>
          <w:p w14:paraId="44671DAE" w14:textId="77777777" w:rsidR="00E41614" w:rsidRPr="00E41614" w:rsidRDefault="00E41614">
            <w:pPr>
              <w:rPr>
                <w:rFonts w:ascii="Calibri" w:hAnsi="Calibri"/>
                <w:sz w:val="22"/>
                <w:szCs w:val="22"/>
              </w:rPr>
            </w:pPr>
            <w:r w:rsidRPr="00E41614">
              <w:rPr>
                <w:rFonts w:ascii="Calibri" w:hAnsi="Calibri"/>
                <w:sz w:val="22"/>
                <w:szCs w:val="22"/>
              </w:rPr>
              <w:t>Šetalište Braće Radić 19a, Slavonski brod</w:t>
            </w:r>
          </w:p>
        </w:tc>
        <w:tc>
          <w:tcPr>
            <w:tcW w:w="1653" w:type="dxa"/>
            <w:hideMark/>
          </w:tcPr>
          <w:p w14:paraId="42EA66B1" w14:textId="77777777" w:rsidR="00E41614" w:rsidRPr="00E41614" w:rsidRDefault="00E41614" w:rsidP="00E41614">
            <w:pPr>
              <w:rPr>
                <w:rFonts w:ascii="Calibri" w:hAnsi="Calibri"/>
                <w:sz w:val="22"/>
                <w:szCs w:val="22"/>
              </w:rPr>
            </w:pPr>
            <w:r w:rsidRPr="00E41614">
              <w:rPr>
                <w:rFonts w:ascii="Calibri" w:hAnsi="Calibri"/>
                <w:sz w:val="22"/>
                <w:szCs w:val="22"/>
              </w:rPr>
              <w:t>14562482156</w:t>
            </w:r>
          </w:p>
        </w:tc>
        <w:tc>
          <w:tcPr>
            <w:tcW w:w="1014" w:type="dxa"/>
            <w:hideMark/>
          </w:tcPr>
          <w:p w14:paraId="35725CE8" w14:textId="77777777" w:rsidR="00E41614" w:rsidRPr="00E41614" w:rsidRDefault="00E41614" w:rsidP="00E41614">
            <w:pPr>
              <w:rPr>
                <w:rFonts w:ascii="Calibri" w:hAnsi="Calibri"/>
                <w:sz w:val="22"/>
                <w:szCs w:val="22"/>
              </w:rPr>
            </w:pPr>
            <w:r w:rsidRPr="00E41614">
              <w:rPr>
                <w:rFonts w:ascii="Calibri" w:hAnsi="Calibri"/>
                <w:sz w:val="22"/>
                <w:szCs w:val="22"/>
              </w:rPr>
              <w:t>ustanova</w:t>
            </w:r>
          </w:p>
        </w:tc>
        <w:tc>
          <w:tcPr>
            <w:tcW w:w="2322" w:type="dxa"/>
            <w:hideMark/>
          </w:tcPr>
          <w:p w14:paraId="7F630A7E" w14:textId="77777777" w:rsidR="00E41614" w:rsidRPr="00E41614" w:rsidRDefault="00E41614">
            <w:pPr>
              <w:rPr>
                <w:rFonts w:ascii="Calibri" w:hAnsi="Calibri"/>
                <w:sz w:val="22"/>
                <w:szCs w:val="22"/>
              </w:rPr>
            </w:pPr>
            <w:r w:rsidRPr="00E41614">
              <w:rPr>
                <w:rFonts w:ascii="Calibri" w:hAnsi="Calibri"/>
                <w:sz w:val="22"/>
                <w:szCs w:val="22"/>
              </w:rPr>
              <w:t>Republika Hrvatska</w:t>
            </w:r>
          </w:p>
        </w:tc>
        <w:tc>
          <w:tcPr>
            <w:tcW w:w="1603" w:type="dxa"/>
            <w:hideMark/>
          </w:tcPr>
          <w:p w14:paraId="1596784A"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1459" w:type="dxa"/>
            <w:hideMark/>
          </w:tcPr>
          <w:p w14:paraId="489173BE" w14:textId="77777777" w:rsidR="00E41614" w:rsidRPr="00E41614" w:rsidRDefault="00E41614" w:rsidP="00F667BE">
            <w:pPr>
              <w:jc w:val="center"/>
              <w:rPr>
                <w:rFonts w:ascii="Calibri" w:hAnsi="Calibri"/>
                <w:sz w:val="22"/>
                <w:szCs w:val="22"/>
              </w:rPr>
            </w:pPr>
            <w:r w:rsidRPr="00E41614">
              <w:rPr>
                <w:rFonts w:ascii="Calibri" w:hAnsi="Calibri"/>
                <w:sz w:val="22"/>
                <w:szCs w:val="22"/>
              </w:rPr>
              <w:t>ne</w:t>
            </w:r>
          </w:p>
        </w:tc>
        <w:tc>
          <w:tcPr>
            <w:tcW w:w="2866" w:type="dxa"/>
            <w:hideMark/>
          </w:tcPr>
          <w:p w14:paraId="0F121718" w14:textId="77777777" w:rsidR="00E41614" w:rsidRPr="00E41614" w:rsidRDefault="00E41614">
            <w:pPr>
              <w:rPr>
                <w:rFonts w:ascii="Calibri" w:hAnsi="Calibri"/>
                <w:sz w:val="22"/>
                <w:szCs w:val="22"/>
              </w:rPr>
            </w:pPr>
            <w:r w:rsidRPr="00E41614">
              <w:rPr>
                <w:rFonts w:ascii="Calibri" w:hAnsi="Calibri"/>
                <w:sz w:val="22"/>
                <w:szCs w:val="22"/>
              </w:rPr>
              <w:t>Uprava unutarnje plovidbe</w:t>
            </w:r>
          </w:p>
        </w:tc>
        <w:tc>
          <w:tcPr>
            <w:tcW w:w="3059" w:type="dxa"/>
            <w:hideMark/>
          </w:tcPr>
          <w:p w14:paraId="440CA9BE" w14:textId="1DA7D017" w:rsidR="009E6B68" w:rsidRDefault="0074387A">
            <w:pPr>
              <w:rPr>
                <w:rFonts w:ascii="Calibri" w:hAnsi="Calibri"/>
                <w:sz w:val="22"/>
                <w:szCs w:val="22"/>
                <w:u w:val="single"/>
              </w:rPr>
            </w:pPr>
            <w:hyperlink r:id="rId29" w:history="1">
              <w:r w:rsidR="00E41614" w:rsidRPr="00E41614">
                <w:rPr>
                  <w:rStyle w:val="Hiperveza"/>
                  <w:rFonts w:ascii="Calibri" w:hAnsi="Calibri"/>
                  <w:sz w:val="22"/>
                  <w:szCs w:val="22"/>
                </w:rPr>
                <w:t>LU Slavonski Brod - Godišnji financijski izvještaj</w:t>
              </w:r>
            </w:hyperlink>
          </w:p>
          <w:p w14:paraId="7CF1717D" w14:textId="77777777" w:rsidR="009E6B68" w:rsidRPr="009E6B68" w:rsidRDefault="009E6B68" w:rsidP="009E6B68">
            <w:pPr>
              <w:rPr>
                <w:rFonts w:ascii="Calibri" w:hAnsi="Calibri"/>
                <w:sz w:val="22"/>
                <w:szCs w:val="22"/>
              </w:rPr>
            </w:pPr>
          </w:p>
          <w:p w14:paraId="557754AE" w14:textId="77777777" w:rsidR="009E6B68" w:rsidRPr="009E6B68" w:rsidRDefault="009E6B68" w:rsidP="009E6B68">
            <w:pPr>
              <w:rPr>
                <w:rFonts w:ascii="Calibri" w:hAnsi="Calibri"/>
                <w:sz w:val="22"/>
                <w:szCs w:val="22"/>
              </w:rPr>
            </w:pPr>
          </w:p>
          <w:p w14:paraId="49E6C138" w14:textId="559BCF94" w:rsidR="00E41614" w:rsidRPr="009E6B68" w:rsidRDefault="00E41614" w:rsidP="009E6B68">
            <w:pPr>
              <w:jc w:val="right"/>
              <w:rPr>
                <w:rFonts w:ascii="Calibri" w:hAnsi="Calibri"/>
                <w:sz w:val="22"/>
                <w:szCs w:val="22"/>
              </w:rPr>
            </w:pPr>
          </w:p>
        </w:tc>
      </w:tr>
      <w:tr w:rsidR="000830AF" w:rsidRPr="00E41614" w14:paraId="536B2E2F" w14:textId="77777777" w:rsidTr="000830AF">
        <w:trPr>
          <w:trHeight w:val="979"/>
        </w:trPr>
        <w:tc>
          <w:tcPr>
            <w:tcW w:w="610" w:type="dxa"/>
            <w:hideMark/>
          </w:tcPr>
          <w:p w14:paraId="78DBCD69" w14:textId="2EDB6F4D" w:rsidR="00E41614" w:rsidRPr="00E41614" w:rsidRDefault="00E41614" w:rsidP="00E41614">
            <w:pPr>
              <w:rPr>
                <w:rFonts w:ascii="Calibri" w:hAnsi="Calibri"/>
                <w:sz w:val="22"/>
                <w:szCs w:val="22"/>
              </w:rPr>
            </w:pPr>
            <w:r w:rsidRPr="00E41614">
              <w:rPr>
                <w:rFonts w:ascii="Calibri" w:hAnsi="Calibri"/>
                <w:sz w:val="22"/>
                <w:szCs w:val="22"/>
              </w:rPr>
              <w:lastRenderedPageBreak/>
              <w:t>16</w:t>
            </w:r>
            <w:r w:rsidR="002A59D8">
              <w:rPr>
                <w:rFonts w:ascii="Calibri" w:hAnsi="Calibri"/>
                <w:sz w:val="22"/>
                <w:szCs w:val="22"/>
              </w:rPr>
              <w:t>.</w:t>
            </w:r>
          </w:p>
        </w:tc>
        <w:tc>
          <w:tcPr>
            <w:tcW w:w="3670" w:type="dxa"/>
            <w:hideMark/>
          </w:tcPr>
          <w:p w14:paraId="23643679" w14:textId="77777777" w:rsidR="00E41614" w:rsidRPr="00E41614" w:rsidRDefault="00E41614">
            <w:pPr>
              <w:rPr>
                <w:rFonts w:ascii="Calibri" w:hAnsi="Calibri"/>
                <w:sz w:val="22"/>
                <w:szCs w:val="22"/>
              </w:rPr>
            </w:pPr>
            <w:r w:rsidRPr="00E41614">
              <w:rPr>
                <w:rFonts w:ascii="Calibri" w:hAnsi="Calibri"/>
                <w:sz w:val="22"/>
                <w:szCs w:val="22"/>
              </w:rPr>
              <w:t>Hrvatska regulatorna agencija za mrežne djelatnosti (HAKOM)</w:t>
            </w:r>
          </w:p>
        </w:tc>
        <w:tc>
          <w:tcPr>
            <w:tcW w:w="3418" w:type="dxa"/>
            <w:hideMark/>
          </w:tcPr>
          <w:p w14:paraId="568A8736" w14:textId="77777777" w:rsidR="00E41614" w:rsidRPr="00E41614" w:rsidRDefault="00E41614">
            <w:pPr>
              <w:rPr>
                <w:rFonts w:ascii="Calibri" w:hAnsi="Calibri"/>
                <w:sz w:val="22"/>
                <w:szCs w:val="22"/>
              </w:rPr>
            </w:pPr>
            <w:r w:rsidRPr="00E41614">
              <w:rPr>
                <w:rFonts w:ascii="Calibri" w:hAnsi="Calibri"/>
                <w:sz w:val="22"/>
                <w:szCs w:val="22"/>
              </w:rPr>
              <w:t>Ulica Roberta Frangeša Mihanovićeva 9, Zagreb</w:t>
            </w:r>
          </w:p>
        </w:tc>
        <w:tc>
          <w:tcPr>
            <w:tcW w:w="1653" w:type="dxa"/>
            <w:hideMark/>
          </w:tcPr>
          <w:p w14:paraId="1B7218DB" w14:textId="77777777" w:rsidR="00E41614" w:rsidRPr="00E41614" w:rsidRDefault="00E41614" w:rsidP="00E41614">
            <w:pPr>
              <w:rPr>
                <w:rFonts w:ascii="Calibri" w:hAnsi="Calibri"/>
                <w:sz w:val="22"/>
                <w:szCs w:val="22"/>
              </w:rPr>
            </w:pPr>
            <w:r w:rsidRPr="00E41614">
              <w:rPr>
                <w:rFonts w:ascii="Calibri" w:hAnsi="Calibri"/>
                <w:sz w:val="22"/>
                <w:szCs w:val="22"/>
              </w:rPr>
              <w:t>87950783661</w:t>
            </w:r>
          </w:p>
        </w:tc>
        <w:tc>
          <w:tcPr>
            <w:tcW w:w="1014" w:type="dxa"/>
            <w:hideMark/>
          </w:tcPr>
          <w:p w14:paraId="0330552A" w14:textId="77777777" w:rsidR="00E41614" w:rsidRPr="00E41614" w:rsidRDefault="00E41614" w:rsidP="00E41614">
            <w:pPr>
              <w:rPr>
                <w:rFonts w:ascii="Calibri" w:hAnsi="Calibri"/>
                <w:sz w:val="22"/>
                <w:szCs w:val="22"/>
              </w:rPr>
            </w:pPr>
            <w:r w:rsidRPr="00E41614">
              <w:rPr>
                <w:rFonts w:ascii="Calibri" w:hAnsi="Calibri"/>
                <w:sz w:val="22"/>
                <w:szCs w:val="22"/>
              </w:rPr>
              <w:t>ustanova</w:t>
            </w:r>
          </w:p>
        </w:tc>
        <w:tc>
          <w:tcPr>
            <w:tcW w:w="2322" w:type="dxa"/>
            <w:hideMark/>
          </w:tcPr>
          <w:p w14:paraId="703FEA4C" w14:textId="77777777" w:rsidR="00E41614" w:rsidRPr="00E41614" w:rsidRDefault="00E41614">
            <w:pPr>
              <w:rPr>
                <w:rFonts w:ascii="Calibri" w:hAnsi="Calibri"/>
                <w:sz w:val="22"/>
                <w:szCs w:val="22"/>
              </w:rPr>
            </w:pPr>
            <w:r w:rsidRPr="00E41614">
              <w:rPr>
                <w:rFonts w:ascii="Calibri" w:hAnsi="Calibri"/>
                <w:sz w:val="22"/>
                <w:szCs w:val="22"/>
              </w:rPr>
              <w:t>Republika Hrvatska</w:t>
            </w:r>
          </w:p>
        </w:tc>
        <w:tc>
          <w:tcPr>
            <w:tcW w:w="1603" w:type="dxa"/>
            <w:hideMark/>
          </w:tcPr>
          <w:p w14:paraId="5F0C4EBC" w14:textId="77777777" w:rsidR="00E41614" w:rsidRPr="00E41614" w:rsidRDefault="00E41614" w:rsidP="00F667BE">
            <w:pPr>
              <w:jc w:val="center"/>
              <w:rPr>
                <w:rFonts w:ascii="Calibri" w:hAnsi="Calibri"/>
                <w:sz w:val="22"/>
                <w:szCs w:val="22"/>
              </w:rPr>
            </w:pPr>
            <w:r w:rsidRPr="00E41614">
              <w:rPr>
                <w:rFonts w:ascii="Calibri" w:hAnsi="Calibri"/>
                <w:sz w:val="22"/>
                <w:szCs w:val="22"/>
              </w:rPr>
              <w:t>ne</w:t>
            </w:r>
          </w:p>
        </w:tc>
        <w:tc>
          <w:tcPr>
            <w:tcW w:w="1459" w:type="dxa"/>
            <w:hideMark/>
          </w:tcPr>
          <w:p w14:paraId="76356D11" w14:textId="77777777" w:rsidR="00E41614" w:rsidRPr="00E41614" w:rsidRDefault="00E41614" w:rsidP="00F667BE">
            <w:pPr>
              <w:jc w:val="center"/>
              <w:rPr>
                <w:rFonts w:ascii="Calibri" w:hAnsi="Calibri"/>
                <w:sz w:val="22"/>
                <w:szCs w:val="22"/>
              </w:rPr>
            </w:pPr>
            <w:r w:rsidRPr="00E41614">
              <w:rPr>
                <w:rFonts w:ascii="Calibri" w:hAnsi="Calibri"/>
                <w:sz w:val="22"/>
                <w:szCs w:val="22"/>
              </w:rPr>
              <w:t>ne</w:t>
            </w:r>
          </w:p>
        </w:tc>
        <w:tc>
          <w:tcPr>
            <w:tcW w:w="2866" w:type="dxa"/>
            <w:hideMark/>
          </w:tcPr>
          <w:p w14:paraId="7AA61F28" w14:textId="77777777" w:rsidR="00E41614" w:rsidRPr="00E41614" w:rsidRDefault="00E41614">
            <w:pPr>
              <w:rPr>
                <w:rFonts w:ascii="Calibri" w:hAnsi="Calibri"/>
                <w:sz w:val="22"/>
                <w:szCs w:val="22"/>
              </w:rPr>
            </w:pPr>
            <w:r w:rsidRPr="00E41614">
              <w:rPr>
                <w:rFonts w:ascii="Calibri" w:hAnsi="Calibri"/>
                <w:sz w:val="22"/>
                <w:szCs w:val="22"/>
              </w:rPr>
              <w:t>Uprava zračnog prometa, elektroničkih komunikacija i pošte</w:t>
            </w:r>
          </w:p>
        </w:tc>
        <w:tc>
          <w:tcPr>
            <w:tcW w:w="3059" w:type="dxa"/>
            <w:hideMark/>
          </w:tcPr>
          <w:p w14:paraId="520636A5" w14:textId="77777777" w:rsidR="00E41614" w:rsidRPr="00E41614" w:rsidRDefault="0074387A">
            <w:pPr>
              <w:rPr>
                <w:rFonts w:ascii="Calibri" w:hAnsi="Calibri"/>
                <w:sz w:val="22"/>
                <w:szCs w:val="22"/>
                <w:u w:val="single"/>
              </w:rPr>
            </w:pPr>
            <w:hyperlink r:id="rId30" w:history="1">
              <w:r w:rsidR="00E41614" w:rsidRPr="00E41614">
                <w:rPr>
                  <w:rStyle w:val="Hiperveza"/>
                  <w:rFonts w:ascii="Calibri" w:hAnsi="Calibri"/>
                  <w:sz w:val="22"/>
                  <w:szCs w:val="22"/>
                </w:rPr>
                <w:t>HAKOM-Godišnji financijski izvještaj</w:t>
              </w:r>
            </w:hyperlink>
          </w:p>
        </w:tc>
      </w:tr>
      <w:tr w:rsidR="00E41614" w:rsidRPr="00E41614" w14:paraId="7FB26AC5" w14:textId="77777777" w:rsidTr="000830AF">
        <w:trPr>
          <w:trHeight w:val="559"/>
        </w:trPr>
        <w:tc>
          <w:tcPr>
            <w:tcW w:w="18615" w:type="dxa"/>
            <w:gridSpan w:val="9"/>
            <w:noWrap/>
            <w:hideMark/>
          </w:tcPr>
          <w:p w14:paraId="51D79D89" w14:textId="77777777" w:rsidR="00E41614" w:rsidRPr="00E41614" w:rsidRDefault="00E41614" w:rsidP="00826B0F">
            <w:pPr>
              <w:rPr>
                <w:rFonts w:ascii="Calibri" w:hAnsi="Calibri"/>
                <w:b/>
                <w:bCs/>
                <w:sz w:val="22"/>
                <w:szCs w:val="22"/>
              </w:rPr>
            </w:pPr>
            <w:r w:rsidRPr="00E41614">
              <w:rPr>
                <w:rFonts w:ascii="Calibri" w:hAnsi="Calibri"/>
                <w:b/>
                <w:bCs/>
                <w:sz w:val="22"/>
                <w:szCs w:val="22"/>
              </w:rPr>
              <w:t>Izvanproračunski korisnici</w:t>
            </w:r>
          </w:p>
        </w:tc>
        <w:tc>
          <w:tcPr>
            <w:tcW w:w="3059" w:type="dxa"/>
            <w:noWrap/>
            <w:hideMark/>
          </w:tcPr>
          <w:p w14:paraId="57C37027" w14:textId="77777777" w:rsidR="00E41614" w:rsidRPr="00E41614" w:rsidRDefault="00E41614">
            <w:pPr>
              <w:rPr>
                <w:rFonts w:ascii="Calibri" w:hAnsi="Calibri"/>
                <w:b/>
                <w:bCs/>
                <w:sz w:val="22"/>
                <w:szCs w:val="22"/>
              </w:rPr>
            </w:pPr>
            <w:r w:rsidRPr="00E41614">
              <w:rPr>
                <w:rFonts w:ascii="Calibri" w:hAnsi="Calibri"/>
                <w:b/>
                <w:bCs/>
                <w:sz w:val="22"/>
                <w:szCs w:val="22"/>
              </w:rPr>
              <w:t> </w:t>
            </w:r>
          </w:p>
        </w:tc>
      </w:tr>
      <w:tr w:rsidR="000830AF" w:rsidRPr="00E41614" w14:paraId="2A4BFFE8" w14:textId="77777777" w:rsidTr="000830AF">
        <w:trPr>
          <w:trHeight w:val="834"/>
        </w:trPr>
        <w:tc>
          <w:tcPr>
            <w:tcW w:w="610" w:type="dxa"/>
            <w:hideMark/>
          </w:tcPr>
          <w:p w14:paraId="7AB70944" w14:textId="738AFE55" w:rsidR="00E41614" w:rsidRPr="00E41614" w:rsidRDefault="00E41614" w:rsidP="00E41614">
            <w:pPr>
              <w:rPr>
                <w:rFonts w:ascii="Calibri" w:hAnsi="Calibri"/>
                <w:sz w:val="22"/>
                <w:szCs w:val="22"/>
              </w:rPr>
            </w:pPr>
            <w:r w:rsidRPr="00E41614">
              <w:rPr>
                <w:rFonts w:ascii="Calibri" w:hAnsi="Calibri"/>
                <w:sz w:val="22"/>
                <w:szCs w:val="22"/>
              </w:rPr>
              <w:t>1</w:t>
            </w:r>
            <w:r w:rsidR="002A59D8">
              <w:rPr>
                <w:rFonts w:ascii="Calibri" w:hAnsi="Calibri"/>
                <w:sz w:val="22"/>
                <w:szCs w:val="22"/>
              </w:rPr>
              <w:t>.</w:t>
            </w:r>
          </w:p>
        </w:tc>
        <w:tc>
          <w:tcPr>
            <w:tcW w:w="3670" w:type="dxa"/>
            <w:hideMark/>
          </w:tcPr>
          <w:p w14:paraId="5AEB5FBA" w14:textId="77777777" w:rsidR="00E41614" w:rsidRPr="00E41614" w:rsidRDefault="00E41614">
            <w:pPr>
              <w:rPr>
                <w:rFonts w:ascii="Calibri" w:hAnsi="Calibri"/>
                <w:sz w:val="22"/>
                <w:szCs w:val="22"/>
              </w:rPr>
            </w:pPr>
            <w:r w:rsidRPr="00E41614">
              <w:rPr>
                <w:rFonts w:ascii="Calibri" w:hAnsi="Calibri"/>
                <w:sz w:val="22"/>
                <w:szCs w:val="22"/>
              </w:rPr>
              <w:t>Hrvatske autoceste</w:t>
            </w:r>
          </w:p>
        </w:tc>
        <w:tc>
          <w:tcPr>
            <w:tcW w:w="3418" w:type="dxa"/>
            <w:hideMark/>
          </w:tcPr>
          <w:p w14:paraId="12C43D50" w14:textId="77777777" w:rsidR="00E41614" w:rsidRPr="00E41614" w:rsidRDefault="00E41614">
            <w:pPr>
              <w:rPr>
                <w:rFonts w:ascii="Calibri" w:hAnsi="Calibri"/>
                <w:sz w:val="22"/>
                <w:szCs w:val="22"/>
              </w:rPr>
            </w:pPr>
            <w:proofErr w:type="spellStart"/>
            <w:r w:rsidRPr="00E41614">
              <w:rPr>
                <w:rFonts w:ascii="Calibri" w:hAnsi="Calibri"/>
                <w:sz w:val="22"/>
                <w:szCs w:val="22"/>
              </w:rPr>
              <w:t>Širolina</w:t>
            </w:r>
            <w:proofErr w:type="spellEnd"/>
            <w:r w:rsidRPr="00E41614">
              <w:rPr>
                <w:rFonts w:ascii="Calibri" w:hAnsi="Calibri"/>
                <w:sz w:val="22"/>
                <w:szCs w:val="22"/>
              </w:rPr>
              <w:t xml:space="preserve"> ulica 4, Zagreb</w:t>
            </w:r>
          </w:p>
        </w:tc>
        <w:tc>
          <w:tcPr>
            <w:tcW w:w="1653" w:type="dxa"/>
            <w:hideMark/>
          </w:tcPr>
          <w:p w14:paraId="0D70D845" w14:textId="77777777" w:rsidR="00E41614" w:rsidRPr="00E41614" w:rsidRDefault="00E41614" w:rsidP="00E41614">
            <w:pPr>
              <w:rPr>
                <w:rFonts w:ascii="Calibri" w:hAnsi="Calibri"/>
                <w:sz w:val="22"/>
                <w:szCs w:val="22"/>
              </w:rPr>
            </w:pPr>
            <w:r w:rsidRPr="00E41614">
              <w:rPr>
                <w:rFonts w:ascii="Calibri" w:hAnsi="Calibri"/>
                <w:sz w:val="22"/>
                <w:szCs w:val="22"/>
              </w:rPr>
              <w:t>57500462912</w:t>
            </w:r>
          </w:p>
        </w:tc>
        <w:tc>
          <w:tcPr>
            <w:tcW w:w="1014" w:type="dxa"/>
            <w:hideMark/>
          </w:tcPr>
          <w:p w14:paraId="3D257701" w14:textId="77777777" w:rsidR="00E41614" w:rsidRPr="00E41614" w:rsidRDefault="00E41614" w:rsidP="00E41614">
            <w:pPr>
              <w:rPr>
                <w:rFonts w:ascii="Calibri" w:hAnsi="Calibri"/>
                <w:sz w:val="22"/>
                <w:szCs w:val="22"/>
              </w:rPr>
            </w:pPr>
            <w:r w:rsidRPr="00E41614">
              <w:rPr>
                <w:rFonts w:ascii="Calibri" w:hAnsi="Calibri"/>
                <w:sz w:val="22"/>
                <w:szCs w:val="22"/>
              </w:rPr>
              <w:t>d.o.o.</w:t>
            </w:r>
          </w:p>
        </w:tc>
        <w:tc>
          <w:tcPr>
            <w:tcW w:w="2322" w:type="dxa"/>
            <w:hideMark/>
          </w:tcPr>
          <w:p w14:paraId="61533415" w14:textId="77777777" w:rsidR="00E41614" w:rsidRPr="00E41614" w:rsidRDefault="00E41614">
            <w:pPr>
              <w:rPr>
                <w:rFonts w:ascii="Calibri" w:hAnsi="Calibri"/>
                <w:sz w:val="22"/>
                <w:szCs w:val="22"/>
              </w:rPr>
            </w:pPr>
            <w:r w:rsidRPr="00E41614">
              <w:rPr>
                <w:rFonts w:ascii="Calibri" w:hAnsi="Calibri"/>
                <w:sz w:val="22"/>
                <w:szCs w:val="22"/>
              </w:rPr>
              <w:t>Republika Hrvatska</w:t>
            </w:r>
          </w:p>
        </w:tc>
        <w:tc>
          <w:tcPr>
            <w:tcW w:w="1603" w:type="dxa"/>
            <w:hideMark/>
          </w:tcPr>
          <w:p w14:paraId="5001F7D9"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1459" w:type="dxa"/>
            <w:hideMark/>
          </w:tcPr>
          <w:p w14:paraId="768E2116"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2866" w:type="dxa"/>
            <w:hideMark/>
          </w:tcPr>
          <w:p w14:paraId="4598405A" w14:textId="77777777" w:rsidR="00E41614" w:rsidRPr="00E41614" w:rsidRDefault="00E41614">
            <w:pPr>
              <w:rPr>
                <w:rFonts w:ascii="Calibri" w:hAnsi="Calibri"/>
                <w:sz w:val="22"/>
                <w:szCs w:val="22"/>
              </w:rPr>
            </w:pPr>
            <w:r w:rsidRPr="00E41614">
              <w:rPr>
                <w:rFonts w:ascii="Calibri" w:hAnsi="Calibri"/>
                <w:sz w:val="22"/>
                <w:szCs w:val="22"/>
              </w:rPr>
              <w:t>Uprava za cestovni promet, cestovnu infrastrukturu i inspekciju</w:t>
            </w:r>
          </w:p>
        </w:tc>
        <w:tc>
          <w:tcPr>
            <w:tcW w:w="3059" w:type="dxa"/>
            <w:hideMark/>
          </w:tcPr>
          <w:p w14:paraId="7CE9A42B" w14:textId="77777777" w:rsidR="00E41614" w:rsidRPr="00E41614" w:rsidRDefault="0074387A">
            <w:pPr>
              <w:rPr>
                <w:rFonts w:ascii="Calibri" w:hAnsi="Calibri"/>
                <w:sz w:val="22"/>
                <w:szCs w:val="22"/>
                <w:u w:val="single"/>
              </w:rPr>
            </w:pPr>
            <w:hyperlink r:id="rId31" w:history="1">
              <w:r w:rsidR="00E41614" w:rsidRPr="00E41614">
                <w:rPr>
                  <w:rStyle w:val="Hiperveza"/>
                  <w:rFonts w:ascii="Calibri" w:hAnsi="Calibri"/>
                  <w:sz w:val="22"/>
                  <w:szCs w:val="22"/>
                </w:rPr>
                <w:t>HAC - Godišnje izvješće o radu</w:t>
              </w:r>
            </w:hyperlink>
          </w:p>
        </w:tc>
      </w:tr>
      <w:tr w:rsidR="000830AF" w:rsidRPr="00E41614" w14:paraId="76DF4BC8" w14:textId="77777777" w:rsidTr="000830AF">
        <w:trPr>
          <w:trHeight w:val="1039"/>
        </w:trPr>
        <w:tc>
          <w:tcPr>
            <w:tcW w:w="610" w:type="dxa"/>
            <w:hideMark/>
          </w:tcPr>
          <w:p w14:paraId="40A52B8B" w14:textId="3D50E64C" w:rsidR="00E41614" w:rsidRPr="00E41614" w:rsidRDefault="00E41614" w:rsidP="00E41614">
            <w:pPr>
              <w:rPr>
                <w:rFonts w:ascii="Calibri" w:hAnsi="Calibri"/>
                <w:sz w:val="22"/>
                <w:szCs w:val="22"/>
              </w:rPr>
            </w:pPr>
            <w:r w:rsidRPr="00E41614">
              <w:rPr>
                <w:rFonts w:ascii="Calibri" w:hAnsi="Calibri"/>
                <w:sz w:val="22"/>
                <w:szCs w:val="22"/>
              </w:rPr>
              <w:t>2</w:t>
            </w:r>
            <w:r w:rsidR="002A59D8">
              <w:rPr>
                <w:rFonts w:ascii="Calibri" w:hAnsi="Calibri"/>
                <w:sz w:val="22"/>
                <w:szCs w:val="22"/>
              </w:rPr>
              <w:t>.</w:t>
            </w:r>
          </w:p>
        </w:tc>
        <w:tc>
          <w:tcPr>
            <w:tcW w:w="3670" w:type="dxa"/>
            <w:hideMark/>
          </w:tcPr>
          <w:p w14:paraId="1B84392F" w14:textId="77777777" w:rsidR="00E41614" w:rsidRPr="00E41614" w:rsidRDefault="00E41614">
            <w:pPr>
              <w:rPr>
                <w:rFonts w:ascii="Calibri" w:hAnsi="Calibri"/>
                <w:sz w:val="22"/>
                <w:szCs w:val="22"/>
              </w:rPr>
            </w:pPr>
            <w:r w:rsidRPr="00E41614">
              <w:rPr>
                <w:rFonts w:ascii="Calibri" w:hAnsi="Calibri"/>
                <w:sz w:val="22"/>
                <w:szCs w:val="22"/>
              </w:rPr>
              <w:t>Hrvatske ceste</w:t>
            </w:r>
          </w:p>
        </w:tc>
        <w:tc>
          <w:tcPr>
            <w:tcW w:w="3418" w:type="dxa"/>
            <w:hideMark/>
          </w:tcPr>
          <w:p w14:paraId="3A9270B4" w14:textId="77777777" w:rsidR="00E41614" w:rsidRPr="00E41614" w:rsidRDefault="00E41614">
            <w:pPr>
              <w:rPr>
                <w:rFonts w:ascii="Calibri" w:hAnsi="Calibri"/>
                <w:sz w:val="22"/>
                <w:szCs w:val="22"/>
              </w:rPr>
            </w:pPr>
            <w:proofErr w:type="spellStart"/>
            <w:r w:rsidRPr="00E41614">
              <w:rPr>
                <w:rFonts w:ascii="Calibri" w:hAnsi="Calibri"/>
                <w:sz w:val="22"/>
                <w:szCs w:val="22"/>
              </w:rPr>
              <w:t>Vončinina</w:t>
            </w:r>
            <w:proofErr w:type="spellEnd"/>
            <w:r w:rsidRPr="00E41614">
              <w:rPr>
                <w:rFonts w:ascii="Calibri" w:hAnsi="Calibri"/>
                <w:sz w:val="22"/>
                <w:szCs w:val="22"/>
              </w:rPr>
              <w:t xml:space="preserve"> 3, Zagreb</w:t>
            </w:r>
          </w:p>
        </w:tc>
        <w:tc>
          <w:tcPr>
            <w:tcW w:w="1653" w:type="dxa"/>
            <w:hideMark/>
          </w:tcPr>
          <w:p w14:paraId="1EFA7ED0" w14:textId="77777777" w:rsidR="00E41614" w:rsidRPr="00E41614" w:rsidRDefault="00E41614" w:rsidP="00E41614">
            <w:pPr>
              <w:rPr>
                <w:rFonts w:ascii="Calibri" w:hAnsi="Calibri"/>
                <w:sz w:val="22"/>
                <w:szCs w:val="22"/>
              </w:rPr>
            </w:pPr>
            <w:r w:rsidRPr="00E41614">
              <w:rPr>
                <w:rFonts w:ascii="Calibri" w:hAnsi="Calibri"/>
                <w:sz w:val="22"/>
                <w:szCs w:val="22"/>
              </w:rPr>
              <w:t>55545787885</w:t>
            </w:r>
          </w:p>
        </w:tc>
        <w:tc>
          <w:tcPr>
            <w:tcW w:w="1014" w:type="dxa"/>
            <w:hideMark/>
          </w:tcPr>
          <w:p w14:paraId="0ADFA7BD" w14:textId="77777777" w:rsidR="00E41614" w:rsidRPr="00E41614" w:rsidRDefault="00E41614" w:rsidP="00E41614">
            <w:pPr>
              <w:rPr>
                <w:rFonts w:ascii="Calibri" w:hAnsi="Calibri"/>
                <w:sz w:val="22"/>
                <w:szCs w:val="22"/>
              </w:rPr>
            </w:pPr>
            <w:r w:rsidRPr="00E41614">
              <w:rPr>
                <w:rFonts w:ascii="Calibri" w:hAnsi="Calibri"/>
                <w:sz w:val="22"/>
                <w:szCs w:val="22"/>
              </w:rPr>
              <w:t>d.o.o.</w:t>
            </w:r>
          </w:p>
        </w:tc>
        <w:tc>
          <w:tcPr>
            <w:tcW w:w="2322" w:type="dxa"/>
            <w:hideMark/>
          </w:tcPr>
          <w:p w14:paraId="4132BDA6" w14:textId="77777777" w:rsidR="00E41614" w:rsidRPr="00E41614" w:rsidRDefault="00E41614">
            <w:pPr>
              <w:rPr>
                <w:rFonts w:ascii="Calibri" w:hAnsi="Calibri"/>
                <w:sz w:val="22"/>
                <w:szCs w:val="22"/>
              </w:rPr>
            </w:pPr>
            <w:r w:rsidRPr="00E41614">
              <w:rPr>
                <w:rFonts w:ascii="Calibri" w:hAnsi="Calibri"/>
                <w:sz w:val="22"/>
                <w:szCs w:val="22"/>
              </w:rPr>
              <w:t>Republika Hrvatska</w:t>
            </w:r>
          </w:p>
        </w:tc>
        <w:tc>
          <w:tcPr>
            <w:tcW w:w="1603" w:type="dxa"/>
            <w:hideMark/>
          </w:tcPr>
          <w:p w14:paraId="52A267CA"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1459" w:type="dxa"/>
            <w:hideMark/>
          </w:tcPr>
          <w:p w14:paraId="3B748C18"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2866" w:type="dxa"/>
            <w:hideMark/>
          </w:tcPr>
          <w:p w14:paraId="012F5B26" w14:textId="77777777" w:rsidR="00E41614" w:rsidRPr="00E41614" w:rsidRDefault="00E41614">
            <w:pPr>
              <w:rPr>
                <w:rFonts w:ascii="Calibri" w:hAnsi="Calibri"/>
                <w:sz w:val="22"/>
                <w:szCs w:val="22"/>
              </w:rPr>
            </w:pPr>
            <w:r w:rsidRPr="00E41614">
              <w:rPr>
                <w:rFonts w:ascii="Calibri" w:hAnsi="Calibri"/>
                <w:sz w:val="22"/>
                <w:szCs w:val="22"/>
              </w:rPr>
              <w:t>Uprava za cestovni promet, cestovnu infrastrukturu i inspekciju</w:t>
            </w:r>
          </w:p>
        </w:tc>
        <w:tc>
          <w:tcPr>
            <w:tcW w:w="3059" w:type="dxa"/>
            <w:hideMark/>
          </w:tcPr>
          <w:p w14:paraId="10C87FE6" w14:textId="77777777" w:rsidR="00E41614" w:rsidRPr="00E41614" w:rsidRDefault="0074387A">
            <w:pPr>
              <w:rPr>
                <w:rFonts w:ascii="Calibri" w:hAnsi="Calibri"/>
                <w:sz w:val="22"/>
                <w:szCs w:val="22"/>
                <w:u w:val="single"/>
              </w:rPr>
            </w:pPr>
            <w:hyperlink r:id="rId32" w:history="1">
              <w:r w:rsidR="00E41614" w:rsidRPr="00E41614">
                <w:rPr>
                  <w:rStyle w:val="Hiperveza"/>
                  <w:rFonts w:ascii="Calibri" w:hAnsi="Calibri"/>
                  <w:sz w:val="22"/>
                  <w:szCs w:val="22"/>
                </w:rPr>
                <w:t>HC - Godišnje izvješće o radu</w:t>
              </w:r>
            </w:hyperlink>
          </w:p>
        </w:tc>
      </w:tr>
      <w:tr w:rsidR="000830AF" w:rsidRPr="00E41614" w14:paraId="002EEC49" w14:textId="77777777" w:rsidTr="000830AF">
        <w:trPr>
          <w:trHeight w:val="619"/>
        </w:trPr>
        <w:tc>
          <w:tcPr>
            <w:tcW w:w="610" w:type="dxa"/>
            <w:hideMark/>
          </w:tcPr>
          <w:p w14:paraId="6F6B29F5" w14:textId="30A5E139" w:rsidR="00E41614" w:rsidRPr="00E41614" w:rsidRDefault="00E41614" w:rsidP="00E41614">
            <w:pPr>
              <w:rPr>
                <w:rFonts w:ascii="Calibri" w:hAnsi="Calibri"/>
                <w:sz w:val="22"/>
                <w:szCs w:val="22"/>
              </w:rPr>
            </w:pPr>
            <w:r w:rsidRPr="00E41614">
              <w:rPr>
                <w:rFonts w:ascii="Calibri" w:hAnsi="Calibri"/>
                <w:sz w:val="22"/>
                <w:szCs w:val="22"/>
              </w:rPr>
              <w:t>3</w:t>
            </w:r>
            <w:r w:rsidR="002A59D8">
              <w:rPr>
                <w:rFonts w:ascii="Calibri" w:hAnsi="Calibri"/>
                <w:sz w:val="22"/>
                <w:szCs w:val="22"/>
              </w:rPr>
              <w:t>.</w:t>
            </w:r>
          </w:p>
        </w:tc>
        <w:tc>
          <w:tcPr>
            <w:tcW w:w="3670" w:type="dxa"/>
            <w:hideMark/>
          </w:tcPr>
          <w:p w14:paraId="7D358C9E" w14:textId="77777777" w:rsidR="00E41614" w:rsidRPr="00E41614" w:rsidRDefault="00E41614">
            <w:pPr>
              <w:rPr>
                <w:rFonts w:ascii="Calibri" w:hAnsi="Calibri"/>
                <w:sz w:val="22"/>
                <w:szCs w:val="22"/>
              </w:rPr>
            </w:pPr>
            <w:r w:rsidRPr="00E41614">
              <w:rPr>
                <w:rFonts w:ascii="Calibri" w:hAnsi="Calibri"/>
                <w:sz w:val="22"/>
                <w:szCs w:val="22"/>
              </w:rPr>
              <w:t>HŽ Infrastruktura</w:t>
            </w:r>
          </w:p>
        </w:tc>
        <w:tc>
          <w:tcPr>
            <w:tcW w:w="3418" w:type="dxa"/>
            <w:hideMark/>
          </w:tcPr>
          <w:p w14:paraId="0A6089E7" w14:textId="77777777" w:rsidR="00E41614" w:rsidRPr="00E41614" w:rsidRDefault="00E41614">
            <w:pPr>
              <w:rPr>
                <w:rFonts w:ascii="Calibri" w:hAnsi="Calibri"/>
                <w:sz w:val="22"/>
                <w:szCs w:val="22"/>
              </w:rPr>
            </w:pPr>
            <w:r w:rsidRPr="00E41614">
              <w:rPr>
                <w:rFonts w:ascii="Calibri" w:hAnsi="Calibri"/>
                <w:sz w:val="22"/>
                <w:szCs w:val="22"/>
              </w:rPr>
              <w:t>Mihanovićeva 12, Zagreb</w:t>
            </w:r>
          </w:p>
        </w:tc>
        <w:tc>
          <w:tcPr>
            <w:tcW w:w="1653" w:type="dxa"/>
            <w:hideMark/>
          </w:tcPr>
          <w:p w14:paraId="34972A2D" w14:textId="77777777" w:rsidR="00E41614" w:rsidRPr="00E41614" w:rsidRDefault="00E41614" w:rsidP="00E41614">
            <w:pPr>
              <w:rPr>
                <w:rFonts w:ascii="Calibri" w:hAnsi="Calibri"/>
                <w:sz w:val="22"/>
                <w:szCs w:val="22"/>
              </w:rPr>
            </w:pPr>
            <w:r w:rsidRPr="00E41614">
              <w:rPr>
                <w:rFonts w:ascii="Calibri" w:hAnsi="Calibri"/>
                <w:sz w:val="22"/>
                <w:szCs w:val="22"/>
              </w:rPr>
              <w:t>39901919995</w:t>
            </w:r>
          </w:p>
        </w:tc>
        <w:tc>
          <w:tcPr>
            <w:tcW w:w="1014" w:type="dxa"/>
            <w:hideMark/>
          </w:tcPr>
          <w:p w14:paraId="2639D039" w14:textId="77777777" w:rsidR="00E41614" w:rsidRPr="00E41614" w:rsidRDefault="00E41614" w:rsidP="00E41614">
            <w:pPr>
              <w:rPr>
                <w:rFonts w:ascii="Calibri" w:hAnsi="Calibri"/>
                <w:sz w:val="22"/>
                <w:szCs w:val="22"/>
              </w:rPr>
            </w:pPr>
            <w:r w:rsidRPr="00E41614">
              <w:rPr>
                <w:rFonts w:ascii="Calibri" w:hAnsi="Calibri"/>
                <w:sz w:val="22"/>
                <w:szCs w:val="22"/>
              </w:rPr>
              <w:t>d.o.o.</w:t>
            </w:r>
          </w:p>
        </w:tc>
        <w:tc>
          <w:tcPr>
            <w:tcW w:w="2322" w:type="dxa"/>
            <w:hideMark/>
          </w:tcPr>
          <w:p w14:paraId="12F5E650" w14:textId="77777777" w:rsidR="00E41614" w:rsidRPr="00E41614" w:rsidRDefault="00E41614">
            <w:pPr>
              <w:rPr>
                <w:rFonts w:ascii="Calibri" w:hAnsi="Calibri"/>
                <w:sz w:val="22"/>
                <w:szCs w:val="22"/>
              </w:rPr>
            </w:pPr>
            <w:r w:rsidRPr="00E41614">
              <w:rPr>
                <w:rFonts w:ascii="Calibri" w:hAnsi="Calibri"/>
                <w:sz w:val="22"/>
                <w:szCs w:val="22"/>
              </w:rPr>
              <w:t>Republika Hrvatska</w:t>
            </w:r>
          </w:p>
        </w:tc>
        <w:tc>
          <w:tcPr>
            <w:tcW w:w="1603" w:type="dxa"/>
            <w:hideMark/>
          </w:tcPr>
          <w:p w14:paraId="7E91491A"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1459" w:type="dxa"/>
            <w:hideMark/>
          </w:tcPr>
          <w:p w14:paraId="26AE5392"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2866" w:type="dxa"/>
            <w:hideMark/>
          </w:tcPr>
          <w:p w14:paraId="08C8DBE3" w14:textId="77777777" w:rsidR="00E41614" w:rsidRPr="00E41614" w:rsidRDefault="00E41614">
            <w:pPr>
              <w:rPr>
                <w:rFonts w:ascii="Calibri" w:hAnsi="Calibri"/>
                <w:sz w:val="22"/>
                <w:szCs w:val="22"/>
              </w:rPr>
            </w:pPr>
            <w:r w:rsidRPr="00E41614">
              <w:rPr>
                <w:rFonts w:ascii="Calibri" w:hAnsi="Calibri"/>
                <w:sz w:val="22"/>
                <w:szCs w:val="22"/>
              </w:rPr>
              <w:t>Uprava za željezničku infrastrukturu i promet</w:t>
            </w:r>
          </w:p>
        </w:tc>
        <w:tc>
          <w:tcPr>
            <w:tcW w:w="3059" w:type="dxa"/>
            <w:hideMark/>
          </w:tcPr>
          <w:p w14:paraId="1CA850C2" w14:textId="77777777" w:rsidR="00E41614" w:rsidRPr="00E41614" w:rsidRDefault="0074387A">
            <w:pPr>
              <w:rPr>
                <w:rFonts w:ascii="Calibri" w:hAnsi="Calibri"/>
                <w:sz w:val="22"/>
                <w:szCs w:val="22"/>
                <w:u w:val="single"/>
              </w:rPr>
            </w:pPr>
            <w:hyperlink r:id="rId33" w:history="1">
              <w:r w:rsidR="00E41614" w:rsidRPr="00E41614">
                <w:rPr>
                  <w:rStyle w:val="Hiperveza"/>
                  <w:rFonts w:ascii="Calibri" w:hAnsi="Calibri"/>
                  <w:sz w:val="22"/>
                  <w:szCs w:val="22"/>
                </w:rPr>
                <w:t>HŽ Infrastruktura - Godišnje izvješće o radu</w:t>
              </w:r>
            </w:hyperlink>
          </w:p>
        </w:tc>
      </w:tr>
      <w:tr w:rsidR="000830AF" w:rsidRPr="00E41614" w14:paraId="6E011D58" w14:textId="77777777" w:rsidTr="000830AF">
        <w:trPr>
          <w:trHeight w:val="619"/>
        </w:trPr>
        <w:tc>
          <w:tcPr>
            <w:tcW w:w="610" w:type="dxa"/>
            <w:hideMark/>
          </w:tcPr>
          <w:p w14:paraId="232B5CC7" w14:textId="3C6F5B8F" w:rsidR="00E41614" w:rsidRPr="00E41614" w:rsidRDefault="00E41614" w:rsidP="00E41614">
            <w:pPr>
              <w:rPr>
                <w:rFonts w:ascii="Calibri" w:hAnsi="Calibri"/>
                <w:sz w:val="22"/>
                <w:szCs w:val="22"/>
              </w:rPr>
            </w:pPr>
            <w:r w:rsidRPr="00E41614">
              <w:rPr>
                <w:rFonts w:ascii="Calibri" w:hAnsi="Calibri"/>
                <w:sz w:val="22"/>
                <w:szCs w:val="22"/>
              </w:rPr>
              <w:t>4</w:t>
            </w:r>
            <w:r w:rsidR="002A59D8">
              <w:rPr>
                <w:rFonts w:ascii="Calibri" w:hAnsi="Calibri"/>
                <w:sz w:val="22"/>
                <w:szCs w:val="22"/>
              </w:rPr>
              <w:t>.</w:t>
            </w:r>
          </w:p>
        </w:tc>
        <w:tc>
          <w:tcPr>
            <w:tcW w:w="3670" w:type="dxa"/>
            <w:hideMark/>
          </w:tcPr>
          <w:p w14:paraId="5192F0DF" w14:textId="77777777" w:rsidR="00E41614" w:rsidRPr="00E41614" w:rsidRDefault="00E41614">
            <w:pPr>
              <w:rPr>
                <w:rFonts w:ascii="Calibri" w:hAnsi="Calibri"/>
                <w:sz w:val="22"/>
                <w:szCs w:val="22"/>
              </w:rPr>
            </w:pPr>
            <w:r w:rsidRPr="00E41614">
              <w:rPr>
                <w:rFonts w:ascii="Calibri" w:hAnsi="Calibri"/>
                <w:sz w:val="22"/>
                <w:szCs w:val="22"/>
              </w:rPr>
              <w:t>HŽ Putnički prijevoz</w:t>
            </w:r>
          </w:p>
        </w:tc>
        <w:tc>
          <w:tcPr>
            <w:tcW w:w="3418" w:type="dxa"/>
            <w:hideMark/>
          </w:tcPr>
          <w:p w14:paraId="0D2F742E" w14:textId="77777777" w:rsidR="00E41614" w:rsidRPr="00E41614" w:rsidRDefault="00E41614">
            <w:pPr>
              <w:rPr>
                <w:rFonts w:ascii="Calibri" w:hAnsi="Calibri"/>
                <w:sz w:val="22"/>
                <w:szCs w:val="22"/>
              </w:rPr>
            </w:pPr>
            <w:r w:rsidRPr="00E41614">
              <w:rPr>
                <w:rFonts w:ascii="Calibri" w:hAnsi="Calibri"/>
                <w:sz w:val="22"/>
                <w:szCs w:val="22"/>
              </w:rPr>
              <w:t>Strojarska cesta 11, Zagreb</w:t>
            </w:r>
          </w:p>
        </w:tc>
        <w:tc>
          <w:tcPr>
            <w:tcW w:w="1653" w:type="dxa"/>
            <w:hideMark/>
          </w:tcPr>
          <w:p w14:paraId="7088C207" w14:textId="77777777" w:rsidR="00E41614" w:rsidRPr="00E41614" w:rsidRDefault="00E41614" w:rsidP="00E41614">
            <w:pPr>
              <w:rPr>
                <w:rFonts w:ascii="Calibri" w:hAnsi="Calibri"/>
                <w:sz w:val="22"/>
                <w:szCs w:val="22"/>
              </w:rPr>
            </w:pPr>
            <w:r w:rsidRPr="00E41614">
              <w:rPr>
                <w:rFonts w:ascii="Calibri" w:hAnsi="Calibri"/>
                <w:sz w:val="22"/>
                <w:szCs w:val="22"/>
              </w:rPr>
              <w:t>80572192786</w:t>
            </w:r>
          </w:p>
        </w:tc>
        <w:tc>
          <w:tcPr>
            <w:tcW w:w="1014" w:type="dxa"/>
            <w:hideMark/>
          </w:tcPr>
          <w:p w14:paraId="49888506" w14:textId="77777777" w:rsidR="00E41614" w:rsidRPr="00E41614" w:rsidRDefault="00E41614" w:rsidP="00E41614">
            <w:pPr>
              <w:rPr>
                <w:rFonts w:ascii="Calibri" w:hAnsi="Calibri"/>
                <w:sz w:val="22"/>
                <w:szCs w:val="22"/>
              </w:rPr>
            </w:pPr>
            <w:r w:rsidRPr="00E41614">
              <w:rPr>
                <w:rFonts w:ascii="Calibri" w:hAnsi="Calibri"/>
                <w:sz w:val="22"/>
                <w:szCs w:val="22"/>
              </w:rPr>
              <w:t>d.o.o.</w:t>
            </w:r>
          </w:p>
        </w:tc>
        <w:tc>
          <w:tcPr>
            <w:tcW w:w="2322" w:type="dxa"/>
            <w:hideMark/>
          </w:tcPr>
          <w:p w14:paraId="15640209" w14:textId="77777777" w:rsidR="00E41614" w:rsidRPr="00E41614" w:rsidRDefault="00E41614">
            <w:pPr>
              <w:rPr>
                <w:rFonts w:ascii="Calibri" w:hAnsi="Calibri"/>
                <w:sz w:val="22"/>
                <w:szCs w:val="22"/>
              </w:rPr>
            </w:pPr>
            <w:r w:rsidRPr="00E41614">
              <w:rPr>
                <w:rFonts w:ascii="Calibri" w:hAnsi="Calibri"/>
                <w:sz w:val="22"/>
                <w:szCs w:val="22"/>
              </w:rPr>
              <w:t>Republika Hrvatska</w:t>
            </w:r>
          </w:p>
        </w:tc>
        <w:tc>
          <w:tcPr>
            <w:tcW w:w="1603" w:type="dxa"/>
            <w:hideMark/>
          </w:tcPr>
          <w:p w14:paraId="38AED85B"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1459" w:type="dxa"/>
            <w:hideMark/>
          </w:tcPr>
          <w:p w14:paraId="26AEE0AB"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2866" w:type="dxa"/>
            <w:hideMark/>
          </w:tcPr>
          <w:p w14:paraId="1DEDD026" w14:textId="77777777" w:rsidR="00E41614" w:rsidRPr="00E41614" w:rsidRDefault="00E41614">
            <w:pPr>
              <w:rPr>
                <w:rFonts w:ascii="Calibri" w:hAnsi="Calibri"/>
                <w:sz w:val="22"/>
                <w:szCs w:val="22"/>
              </w:rPr>
            </w:pPr>
            <w:r w:rsidRPr="00E41614">
              <w:rPr>
                <w:rFonts w:ascii="Calibri" w:hAnsi="Calibri"/>
                <w:sz w:val="22"/>
                <w:szCs w:val="22"/>
              </w:rPr>
              <w:t>Uprava za željezničku infrastrukturu i promet</w:t>
            </w:r>
          </w:p>
        </w:tc>
        <w:tc>
          <w:tcPr>
            <w:tcW w:w="3059" w:type="dxa"/>
            <w:hideMark/>
          </w:tcPr>
          <w:p w14:paraId="4756F4FB" w14:textId="77777777" w:rsidR="00E41614" w:rsidRPr="00E41614" w:rsidRDefault="0074387A">
            <w:pPr>
              <w:rPr>
                <w:rFonts w:ascii="Calibri" w:hAnsi="Calibri"/>
                <w:sz w:val="22"/>
                <w:szCs w:val="22"/>
                <w:u w:val="single"/>
              </w:rPr>
            </w:pPr>
            <w:hyperlink r:id="rId34" w:history="1">
              <w:r w:rsidR="00E41614" w:rsidRPr="00E41614">
                <w:rPr>
                  <w:rStyle w:val="Hiperveza"/>
                  <w:rFonts w:ascii="Calibri" w:hAnsi="Calibri"/>
                  <w:sz w:val="22"/>
                  <w:szCs w:val="22"/>
                </w:rPr>
                <w:t>HŽPP - Godišnje izvješće o radu</w:t>
              </w:r>
            </w:hyperlink>
          </w:p>
        </w:tc>
      </w:tr>
      <w:tr w:rsidR="00E41614" w:rsidRPr="00E41614" w14:paraId="4D8208E0" w14:textId="77777777" w:rsidTr="000830AF">
        <w:trPr>
          <w:trHeight w:val="559"/>
        </w:trPr>
        <w:tc>
          <w:tcPr>
            <w:tcW w:w="18615" w:type="dxa"/>
            <w:gridSpan w:val="9"/>
            <w:noWrap/>
            <w:hideMark/>
          </w:tcPr>
          <w:p w14:paraId="3BCFA2D8" w14:textId="77777777" w:rsidR="00E41614" w:rsidRPr="00E41614" w:rsidRDefault="00E41614" w:rsidP="00826B0F">
            <w:pPr>
              <w:rPr>
                <w:rFonts w:ascii="Calibri" w:hAnsi="Calibri"/>
                <w:b/>
                <w:bCs/>
                <w:sz w:val="22"/>
                <w:szCs w:val="22"/>
              </w:rPr>
            </w:pPr>
            <w:r w:rsidRPr="00E41614">
              <w:rPr>
                <w:rFonts w:ascii="Calibri" w:hAnsi="Calibri"/>
                <w:b/>
                <w:bCs/>
                <w:sz w:val="22"/>
                <w:szCs w:val="22"/>
              </w:rPr>
              <w:t>Ustanove</w:t>
            </w:r>
          </w:p>
        </w:tc>
        <w:tc>
          <w:tcPr>
            <w:tcW w:w="3059" w:type="dxa"/>
            <w:noWrap/>
            <w:hideMark/>
          </w:tcPr>
          <w:p w14:paraId="27A70546" w14:textId="77777777" w:rsidR="00E41614" w:rsidRPr="00E41614" w:rsidRDefault="00E41614">
            <w:pPr>
              <w:rPr>
                <w:rFonts w:ascii="Calibri" w:hAnsi="Calibri"/>
                <w:b/>
                <w:bCs/>
                <w:sz w:val="22"/>
                <w:szCs w:val="22"/>
              </w:rPr>
            </w:pPr>
            <w:r w:rsidRPr="00E41614">
              <w:rPr>
                <w:rFonts w:ascii="Calibri" w:hAnsi="Calibri"/>
                <w:b/>
                <w:bCs/>
                <w:sz w:val="22"/>
                <w:szCs w:val="22"/>
              </w:rPr>
              <w:t> </w:t>
            </w:r>
          </w:p>
        </w:tc>
      </w:tr>
      <w:tr w:rsidR="000830AF" w:rsidRPr="00E41614" w14:paraId="3C64EC97" w14:textId="77777777" w:rsidTr="000830AF">
        <w:trPr>
          <w:trHeight w:val="619"/>
        </w:trPr>
        <w:tc>
          <w:tcPr>
            <w:tcW w:w="610" w:type="dxa"/>
            <w:hideMark/>
          </w:tcPr>
          <w:p w14:paraId="109B46EE" w14:textId="077F1F92" w:rsidR="00E41614" w:rsidRPr="00E41614" w:rsidRDefault="00E41614" w:rsidP="00E41614">
            <w:pPr>
              <w:rPr>
                <w:rFonts w:ascii="Calibri" w:hAnsi="Calibri"/>
                <w:sz w:val="22"/>
                <w:szCs w:val="22"/>
              </w:rPr>
            </w:pPr>
            <w:r w:rsidRPr="00E41614">
              <w:rPr>
                <w:rFonts w:ascii="Calibri" w:hAnsi="Calibri"/>
                <w:sz w:val="22"/>
                <w:szCs w:val="22"/>
              </w:rPr>
              <w:t>1</w:t>
            </w:r>
            <w:r w:rsidR="002A59D8">
              <w:rPr>
                <w:rFonts w:ascii="Calibri" w:hAnsi="Calibri"/>
                <w:sz w:val="22"/>
                <w:szCs w:val="22"/>
              </w:rPr>
              <w:t>.</w:t>
            </w:r>
          </w:p>
        </w:tc>
        <w:tc>
          <w:tcPr>
            <w:tcW w:w="3670" w:type="dxa"/>
            <w:hideMark/>
          </w:tcPr>
          <w:p w14:paraId="2FFCCBDD" w14:textId="77777777" w:rsidR="00E41614" w:rsidRPr="00E41614" w:rsidRDefault="00E41614">
            <w:pPr>
              <w:rPr>
                <w:rFonts w:ascii="Calibri" w:hAnsi="Calibri"/>
                <w:sz w:val="22"/>
                <w:szCs w:val="22"/>
              </w:rPr>
            </w:pPr>
            <w:r w:rsidRPr="00E41614">
              <w:rPr>
                <w:rFonts w:ascii="Calibri" w:hAnsi="Calibri"/>
                <w:sz w:val="22"/>
                <w:szCs w:val="22"/>
              </w:rPr>
              <w:t>Hrvatski registar brodova</w:t>
            </w:r>
          </w:p>
        </w:tc>
        <w:tc>
          <w:tcPr>
            <w:tcW w:w="3418" w:type="dxa"/>
            <w:hideMark/>
          </w:tcPr>
          <w:p w14:paraId="1025A7FE" w14:textId="77777777" w:rsidR="00E41614" w:rsidRPr="00E41614" w:rsidRDefault="00E41614">
            <w:pPr>
              <w:rPr>
                <w:rFonts w:ascii="Calibri" w:hAnsi="Calibri"/>
                <w:sz w:val="22"/>
                <w:szCs w:val="22"/>
              </w:rPr>
            </w:pPr>
            <w:r w:rsidRPr="00E41614">
              <w:rPr>
                <w:rFonts w:ascii="Calibri" w:hAnsi="Calibri"/>
                <w:sz w:val="22"/>
                <w:szCs w:val="22"/>
              </w:rPr>
              <w:t>Marasovića 67, Split</w:t>
            </w:r>
          </w:p>
        </w:tc>
        <w:tc>
          <w:tcPr>
            <w:tcW w:w="1653" w:type="dxa"/>
            <w:hideMark/>
          </w:tcPr>
          <w:p w14:paraId="0FAA726D" w14:textId="77777777" w:rsidR="00E41614" w:rsidRPr="00E41614" w:rsidRDefault="00E41614" w:rsidP="00E41614">
            <w:pPr>
              <w:rPr>
                <w:rFonts w:ascii="Calibri" w:hAnsi="Calibri"/>
                <w:sz w:val="22"/>
                <w:szCs w:val="22"/>
              </w:rPr>
            </w:pPr>
            <w:r w:rsidRPr="00E41614">
              <w:rPr>
                <w:rFonts w:ascii="Calibri" w:hAnsi="Calibri"/>
                <w:sz w:val="22"/>
                <w:szCs w:val="22"/>
              </w:rPr>
              <w:t>04601923208</w:t>
            </w:r>
          </w:p>
        </w:tc>
        <w:tc>
          <w:tcPr>
            <w:tcW w:w="1014" w:type="dxa"/>
            <w:hideMark/>
          </w:tcPr>
          <w:p w14:paraId="18F46716" w14:textId="77777777" w:rsidR="00E41614" w:rsidRPr="00E41614" w:rsidRDefault="00E41614" w:rsidP="00E41614">
            <w:pPr>
              <w:rPr>
                <w:rFonts w:ascii="Calibri" w:hAnsi="Calibri"/>
                <w:sz w:val="22"/>
                <w:szCs w:val="22"/>
              </w:rPr>
            </w:pPr>
            <w:r w:rsidRPr="00E41614">
              <w:rPr>
                <w:rFonts w:ascii="Calibri" w:hAnsi="Calibri"/>
                <w:sz w:val="22"/>
                <w:szCs w:val="22"/>
              </w:rPr>
              <w:t>ustanova</w:t>
            </w:r>
          </w:p>
        </w:tc>
        <w:tc>
          <w:tcPr>
            <w:tcW w:w="2322" w:type="dxa"/>
            <w:hideMark/>
          </w:tcPr>
          <w:p w14:paraId="73238643" w14:textId="77777777" w:rsidR="00E41614" w:rsidRPr="00E41614" w:rsidRDefault="00E41614">
            <w:pPr>
              <w:rPr>
                <w:rFonts w:ascii="Calibri" w:hAnsi="Calibri"/>
                <w:sz w:val="22"/>
                <w:szCs w:val="22"/>
              </w:rPr>
            </w:pPr>
            <w:r w:rsidRPr="00E41614">
              <w:rPr>
                <w:rFonts w:ascii="Calibri" w:hAnsi="Calibri"/>
                <w:sz w:val="22"/>
                <w:szCs w:val="22"/>
              </w:rPr>
              <w:t>Republika Hrvatska</w:t>
            </w:r>
          </w:p>
        </w:tc>
        <w:tc>
          <w:tcPr>
            <w:tcW w:w="1603" w:type="dxa"/>
            <w:hideMark/>
          </w:tcPr>
          <w:p w14:paraId="34E2BF49"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1459" w:type="dxa"/>
            <w:hideMark/>
          </w:tcPr>
          <w:p w14:paraId="79D1329A" w14:textId="77777777" w:rsidR="00E41614" w:rsidRPr="00E41614" w:rsidRDefault="00E41614" w:rsidP="00F667BE">
            <w:pPr>
              <w:jc w:val="center"/>
              <w:rPr>
                <w:rFonts w:ascii="Calibri" w:hAnsi="Calibri"/>
                <w:sz w:val="22"/>
                <w:szCs w:val="22"/>
              </w:rPr>
            </w:pPr>
            <w:r w:rsidRPr="00E41614">
              <w:rPr>
                <w:rFonts w:ascii="Calibri" w:hAnsi="Calibri"/>
                <w:sz w:val="22"/>
                <w:szCs w:val="22"/>
              </w:rPr>
              <w:t>ne</w:t>
            </w:r>
          </w:p>
        </w:tc>
        <w:tc>
          <w:tcPr>
            <w:tcW w:w="2866" w:type="dxa"/>
            <w:hideMark/>
          </w:tcPr>
          <w:p w14:paraId="698F2B0A" w14:textId="77777777" w:rsidR="00E41614" w:rsidRPr="00E41614" w:rsidRDefault="00E41614">
            <w:pPr>
              <w:rPr>
                <w:rFonts w:ascii="Calibri" w:hAnsi="Calibri"/>
                <w:sz w:val="22"/>
                <w:szCs w:val="22"/>
              </w:rPr>
            </w:pPr>
            <w:r w:rsidRPr="00E41614">
              <w:rPr>
                <w:rFonts w:ascii="Calibri" w:hAnsi="Calibri"/>
                <w:sz w:val="22"/>
                <w:szCs w:val="22"/>
              </w:rPr>
              <w:t>Uprava sigurnosti plovidbe</w:t>
            </w:r>
          </w:p>
        </w:tc>
        <w:tc>
          <w:tcPr>
            <w:tcW w:w="3059" w:type="dxa"/>
            <w:hideMark/>
          </w:tcPr>
          <w:p w14:paraId="34730A75" w14:textId="77777777" w:rsidR="00E41614" w:rsidRPr="00E41614" w:rsidRDefault="0074387A">
            <w:pPr>
              <w:rPr>
                <w:rFonts w:ascii="Calibri" w:hAnsi="Calibri"/>
                <w:sz w:val="22"/>
                <w:szCs w:val="22"/>
                <w:u w:val="single"/>
              </w:rPr>
            </w:pPr>
            <w:hyperlink r:id="rId35" w:history="1">
              <w:r w:rsidR="00E41614" w:rsidRPr="00E41614">
                <w:rPr>
                  <w:rStyle w:val="Hiperveza"/>
                  <w:rFonts w:ascii="Calibri" w:hAnsi="Calibri"/>
                  <w:sz w:val="22"/>
                  <w:szCs w:val="22"/>
                </w:rPr>
                <w:t>HRB - Godišnje izvješće o radu</w:t>
              </w:r>
            </w:hyperlink>
          </w:p>
        </w:tc>
      </w:tr>
      <w:tr w:rsidR="00E41614" w:rsidRPr="00E41614" w14:paraId="0E93C10C" w14:textId="77777777" w:rsidTr="000830AF">
        <w:trPr>
          <w:trHeight w:val="559"/>
        </w:trPr>
        <w:tc>
          <w:tcPr>
            <w:tcW w:w="18615" w:type="dxa"/>
            <w:gridSpan w:val="9"/>
            <w:noWrap/>
            <w:hideMark/>
          </w:tcPr>
          <w:p w14:paraId="06D53EA4" w14:textId="77777777" w:rsidR="00E41614" w:rsidRPr="00E41614" w:rsidRDefault="00E41614" w:rsidP="00826B0F">
            <w:pPr>
              <w:rPr>
                <w:rFonts w:ascii="Calibri" w:hAnsi="Calibri"/>
                <w:b/>
                <w:bCs/>
                <w:sz w:val="22"/>
                <w:szCs w:val="22"/>
              </w:rPr>
            </w:pPr>
            <w:r w:rsidRPr="00E41614">
              <w:rPr>
                <w:rFonts w:ascii="Calibri" w:hAnsi="Calibri"/>
                <w:b/>
                <w:bCs/>
                <w:sz w:val="22"/>
                <w:szCs w:val="22"/>
              </w:rPr>
              <w:t>Trgovačka društva</w:t>
            </w:r>
          </w:p>
        </w:tc>
        <w:tc>
          <w:tcPr>
            <w:tcW w:w="3059" w:type="dxa"/>
            <w:noWrap/>
            <w:hideMark/>
          </w:tcPr>
          <w:p w14:paraId="3DD0CEA1" w14:textId="77777777" w:rsidR="00E41614" w:rsidRPr="00E41614" w:rsidRDefault="00E41614">
            <w:pPr>
              <w:rPr>
                <w:rFonts w:ascii="Calibri" w:hAnsi="Calibri"/>
                <w:b/>
                <w:bCs/>
                <w:sz w:val="22"/>
                <w:szCs w:val="22"/>
              </w:rPr>
            </w:pPr>
            <w:r w:rsidRPr="00E41614">
              <w:rPr>
                <w:rFonts w:ascii="Calibri" w:hAnsi="Calibri"/>
                <w:b/>
                <w:bCs/>
                <w:sz w:val="22"/>
                <w:szCs w:val="22"/>
              </w:rPr>
              <w:t> </w:t>
            </w:r>
          </w:p>
        </w:tc>
      </w:tr>
      <w:tr w:rsidR="000830AF" w:rsidRPr="00E41614" w14:paraId="166A6888" w14:textId="77777777" w:rsidTr="000830AF">
        <w:trPr>
          <w:trHeight w:val="979"/>
        </w:trPr>
        <w:tc>
          <w:tcPr>
            <w:tcW w:w="610" w:type="dxa"/>
            <w:hideMark/>
          </w:tcPr>
          <w:p w14:paraId="55619292" w14:textId="35A1FDDE" w:rsidR="00E41614" w:rsidRPr="00E41614" w:rsidRDefault="00E41614" w:rsidP="00E41614">
            <w:pPr>
              <w:rPr>
                <w:rFonts w:ascii="Calibri" w:hAnsi="Calibri"/>
                <w:sz w:val="22"/>
                <w:szCs w:val="22"/>
              </w:rPr>
            </w:pPr>
            <w:r w:rsidRPr="00E41614">
              <w:rPr>
                <w:rFonts w:ascii="Calibri" w:hAnsi="Calibri"/>
                <w:sz w:val="22"/>
                <w:szCs w:val="22"/>
              </w:rPr>
              <w:t>1</w:t>
            </w:r>
            <w:r w:rsidR="002A59D8">
              <w:rPr>
                <w:rFonts w:ascii="Calibri" w:hAnsi="Calibri"/>
                <w:sz w:val="22"/>
                <w:szCs w:val="22"/>
              </w:rPr>
              <w:t>.</w:t>
            </w:r>
          </w:p>
        </w:tc>
        <w:tc>
          <w:tcPr>
            <w:tcW w:w="3670" w:type="dxa"/>
            <w:hideMark/>
          </w:tcPr>
          <w:p w14:paraId="1B40C122" w14:textId="77777777" w:rsidR="00E41614" w:rsidRPr="00E41614" w:rsidRDefault="00E41614">
            <w:pPr>
              <w:rPr>
                <w:rFonts w:ascii="Calibri" w:hAnsi="Calibri"/>
                <w:sz w:val="22"/>
                <w:szCs w:val="22"/>
              </w:rPr>
            </w:pPr>
            <w:r w:rsidRPr="00E41614">
              <w:rPr>
                <w:rFonts w:ascii="Calibri" w:hAnsi="Calibri"/>
                <w:sz w:val="22"/>
                <w:szCs w:val="22"/>
              </w:rPr>
              <w:t>Hrvatska kontrola zračne plovidbe</w:t>
            </w:r>
          </w:p>
        </w:tc>
        <w:tc>
          <w:tcPr>
            <w:tcW w:w="3418" w:type="dxa"/>
            <w:hideMark/>
          </w:tcPr>
          <w:p w14:paraId="1E3E03E1" w14:textId="77777777" w:rsidR="00E41614" w:rsidRPr="00E41614" w:rsidRDefault="00E41614">
            <w:pPr>
              <w:rPr>
                <w:rFonts w:ascii="Calibri" w:hAnsi="Calibri"/>
                <w:sz w:val="22"/>
                <w:szCs w:val="22"/>
              </w:rPr>
            </w:pPr>
            <w:r w:rsidRPr="00E41614">
              <w:rPr>
                <w:rFonts w:ascii="Calibri" w:hAnsi="Calibri"/>
                <w:sz w:val="22"/>
                <w:szCs w:val="22"/>
              </w:rPr>
              <w:t xml:space="preserve">Ulica Rudolfa </w:t>
            </w:r>
            <w:proofErr w:type="spellStart"/>
            <w:r w:rsidRPr="00E41614">
              <w:rPr>
                <w:rFonts w:ascii="Calibri" w:hAnsi="Calibri"/>
                <w:sz w:val="22"/>
                <w:szCs w:val="22"/>
              </w:rPr>
              <w:t>Fizira</w:t>
            </w:r>
            <w:proofErr w:type="spellEnd"/>
            <w:r w:rsidRPr="00E41614">
              <w:rPr>
                <w:rFonts w:ascii="Calibri" w:hAnsi="Calibri"/>
                <w:sz w:val="22"/>
                <w:szCs w:val="22"/>
              </w:rPr>
              <w:t xml:space="preserve"> 2, Velika Gorica</w:t>
            </w:r>
          </w:p>
        </w:tc>
        <w:tc>
          <w:tcPr>
            <w:tcW w:w="1653" w:type="dxa"/>
            <w:hideMark/>
          </w:tcPr>
          <w:p w14:paraId="4C279000" w14:textId="77777777" w:rsidR="00E41614" w:rsidRPr="00E41614" w:rsidRDefault="00E41614" w:rsidP="00E41614">
            <w:pPr>
              <w:rPr>
                <w:rFonts w:ascii="Calibri" w:hAnsi="Calibri"/>
                <w:sz w:val="22"/>
                <w:szCs w:val="22"/>
              </w:rPr>
            </w:pPr>
            <w:r w:rsidRPr="00E41614">
              <w:rPr>
                <w:rFonts w:ascii="Calibri" w:hAnsi="Calibri"/>
                <w:sz w:val="22"/>
                <w:szCs w:val="22"/>
              </w:rPr>
              <w:t>33052761319</w:t>
            </w:r>
          </w:p>
        </w:tc>
        <w:tc>
          <w:tcPr>
            <w:tcW w:w="1014" w:type="dxa"/>
            <w:hideMark/>
          </w:tcPr>
          <w:p w14:paraId="24CC31DC" w14:textId="77777777" w:rsidR="00E41614" w:rsidRPr="00E41614" w:rsidRDefault="00E41614" w:rsidP="00E41614">
            <w:pPr>
              <w:rPr>
                <w:rFonts w:ascii="Calibri" w:hAnsi="Calibri"/>
                <w:sz w:val="22"/>
                <w:szCs w:val="22"/>
              </w:rPr>
            </w:pPr>
            <w:r w:rsidRPr="00E41614">
              <w:rPr>
                <w:rFonts w:ascii="Calibri" w:hAnsi="Calibri"/>
                <w:sz w:val="22"/>
                <w:szCs w:val="22"/>
              </w:rPr>
              <w:t>d.o.o.</w:t>
            </w:r>
          </w:p>
        </w:tc>
        <w:tc>
          <w:tcPr>
            <w:tcW w:w="2322" w:type="dxa"/>
            <w:hideMark/>
          </w:tcPr>
          <w:p w14:paraId="48A180F0" w14:textId="77777777" w:rsidR="00E41614" w:rsidRPr="00E41614" w:rsidRDefault="00E41614">
            <w:pPr>
              <w:rPr>
                <w:rFonts w:ascii="Calibri" w:hAnsi="Calibri"/>
                <w:sz w:val="22"/>
                <w:szCs w:val="22"/>
              </w:rPr>
            </w:pPr>
            <w:r w:rsidRPr="00E41614">
              <w:rPr>
                <w:rFonts w:ascii="Calibri" w:hAnsi="Calibri"/>
                <w:sz w:val="22"/>
                <w:szCs w:val="22"/>
              </w:rPr>
              <w:t>Republika Hrvatska</w:t>
            </w:r>
          </w:p>
        </w:tc>
        <w:tc>
          <w:tcPr>
            <w:tcW w:w="1603" w:type="dxa"/>
            <w:hideMark/>
          </w:tcPr>
          <w:p w14:paraId="76DC63FB"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1459" w:type="dxa"/>
            <w:hideMark/>
          </w:tcPr>
          <w:p w14:paraId="7FF48A7E"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2866" w:type="dxa"/>
            <w:hideMark/>
          </w:tcPr>
          <w:p w14:paraId="6371FCC8" w14:textId="77777777" w:rsidR="00E41614" w:rsidRPr="00E41614" w:rsidRDefault="00E41614">
            <w:pPr>
              <w:rPr>
                <w:rFonts w:ascii="Calibri" w:hAnsi="Calibri"/>
                <w:sz w:val="22"/>
                <w:szCs w:val="22"/>
              </w:rPr>
            </w:pPr>
            <w:r w:rsidRPr="00E41614">
              <w:rPr>
                <w:rFonts w:ascii="Calibri" w:hAnsi="Calibri"/>
                <w:sz w:val="22"/>
                <w:szCs w:val="22"/>
              </w:rPr>
              <w:t>Uprava zračnog prometa, elektroničkih komunikacija i pošte</w:t>
            </w:r>
          </w:p>
        </w:tc>
        <w:tc>
          <w:tcPr>
            <w:tcW w:w="3059" w:type="dxa"/>
            <w:hideMark/>
          </w:tcPr>
          <w:p w14:paraId="26FB6BFC" w14:textId="77777777" w:rsidR="00E41614" w:rsidRPr="00E41614" w:rsidRDefault="0074387A">
            <w:pPr>
              <w:rPr>
                <w:rFonts w:ascii="Calibri" w:hAnsi="Calibri"/>
                <w:sz w:val="22"/>
                <w:szCs w:val="22"/>
                <w:u w:val="single"/>
              </w:rPr>
            </w:pPr>
            <w:hyperlink r:id="rId36" w:history="1">
              <w:r w:rsidR="00E41614" w:rsidRPr="00E41614">
                <w:rPr>
                  <w:rStyle w:val="Hiperveza"/>
                  <w:rFonts w:ascii="Calibri" w:hAnsi="Calibri"/>
                  <w:sz w:val="22"/>
                  <w:szCs w:val="22"/>
                </w:rPr>
                <w:t>HKZP - Godišnje izvješće o radu</w:t>
              </w:r>
            </w:hyperlink>
          </w:p>
        </w:tc>
      </w:tr>
      <w:tr w:rsidR="000830AF" w:rsidRPr="00E41614" w14:paraId="1234CC91" w14:textId="77777777" w:rsidTr="000830AF">
        <w:trPr>
          <w:trHeight w:val="979"/>
        </w:trPr>
        <w:tc>
          <w:tcPr>
            <w:tcW w:w="610" w:type="dxa"/>
            <w:hideMark/>
          </w:tcPr>
          <w:p w14:paraId="0B38F5E9" w14:textId="23975653" w:rsidR="00E41614" w:rsidRPr="00E41614" w:rsidRDefault="00E41614" w:rsidP="00E41614">
            <w:pPr>
              <w:rPr>
                <w:rFonts w:ascii="Calibri" w:hAnsi="Calibri"/>
                <w:sz w:val="22"/>
                <w:szCs w:val="22"/>
              </w:rPr>
            </w:pPr>
            <w:r w:rsidRPr="00E41614">
              <w:rPr>
                <w:rFonts w:ascii="Calibri" w:hAnsi="Calibri"/>
                <w:sz w:val="22"/>
                <w:szCs w:val="22"/>
              </w:rPr>
              <w:t>2</w:t>
            </w:r>
            <w:r w:rsidR="002A59D8">
              <w:rPr>
                <w:rFonts w:ascii="Calibri" w:hAnsi="Calibri"/>
                <w:sz w:val="22"/>
                <w:szCs w:val="22"/>
              </w:rPr>
              <w:t>.</w:t>
            </w:r>
          </w:p>
        </w:tc>
        <w:tc>
          <w:tcPr>
            <w:tcW w:w="3670" w:type="dxa"/>
            <w:hideMark/>
          </w:tcPr>
          <w:p w14:paraId="233EB095" w14:textId="77777777" w:rsidR="00E41614" w:rsidRPr="00E41614" w:rsidRDefault="00E41614">
            <w:pPr>
              <w:rPr>
                <w:rFonts w:ascii="Calibri" w:hAnsi="Calibri"/>
                <w:sz w:val="22"/>
                <w:szCs w:val="22"/>
              </w:rPr>
            </w:pPr>
            <w:r w:rsidRPr="00E41614">
              <w:rPr>
                <w:rFonts w:ascii="Calibri" w:hAnsi="Calibri"/>
                <w:sz w:val="22"/>
                <w:szCs w:val="22"/>
              </w:rPr>
              <w:t>Odašiljači i veze</w:t>
            </w:r>
          </w:p>
        </w:tc>
        <w:tc>
          <w:tcPr>
            <w:tcW w:w="3418" w:type="dxa"/>
            <w:hideMark/>
          </w:tcPr>
          <w:p w14:paraId="3708FBCD" w14:textId="77777777" w:rsidR="00E41614" w:rsidRPr="00E41614" w:rsidRDefault="00E41614">
            <w:pPr>
              <w:rPr>
                <w:rFonts w:ascii="Calibri" w:hAnsi="Calibri"/>
                <w:sz w:val="22"/>
                <w:szCs w:val="22"/>
              </w:rPr>
            </w:pPr>
            <w:r w:rsidRPr="00E41614">
              <w:rPr>
                <w:rFonts w:ascii="Calibri" w:hAnsi="Calibri"/>
                <w:sz w:val="22"/>
                <w:szCs w:val="22"/>
              </w:rPr>
              <w:t>Ulica grada Vukovara 269/d, Zagreb</w:t>
            </w:r>
          </w:p>
        </w:tc>
        <w:tc>
          <w:tcPr>
            <w:tcW w:w="1653" w:type="dxa"/>
            <w:hideMark/>
          </w:tcPr>
          <w:p w14:paraId="6EB0BFBC" w14:textId="77777777" w:rsidR="00E41614" w:rsidRPr="00E41614" w:rsidRDefault="00E41614" w:rsidP="00E41614">
            <w:pPr>
              <w:rPr>
                <w:rFonts w:ascii="Calibri" w:hAnsi="Calibri"/>
                <w:sz w:val="22"/>
                <w:szCs w:val="22"/>
              </w:rPr>
            </w:pPr>
            <w:r w:rsidRPr="00E41614">
              <w:rPr>
                <w:rFonts w:ascii="Calibri" w:hAnsi="Calibri"/>
                <w:sz w:val="22"/>
                <w:szCs w:val="22"/>
              </w:rPr>
              <w:t>88150534338</w:t>
            </w:r>
          </w:p>
        </w:tc>
        <w:tc>
          <w:tcPr>
            <w:tcW w:w="1014" w:type="dxa"/>
            <w:hideMark/>
          </w:tcPr>
          <w:p w14:paraId="0DB88E74" w14:textId="77777777" w:rsidR="00E41614" w:rsidRPr="00E41614" w:rsidRDefault="00E41614" w:rsidP="00E41614">
            <w:pPr>
              <w:rPr>
                <w:rFonts w:ascii="Calibri" w:hAnsi="Calibri"/>
                <w:sz w:val="22"/>
                <w:szCs w:val="22"/>
              </w:rPr>
            </w:pPr>
            <w:r w:rsidRPr="00E41614">
              <w:rPr>
                <w:rFonts w:ascii="Calibri" w:hAnsi="Calibri"/>
                <w:sz w:val="22"/>
                <w:szCs w:val="22"/>
              </w:rPr>
              <w:t>d.o.o.</w:t>
            </w:r>
          </w:p>
        </w:tc>
        <w:tc>
          <w:tcPr>
            <w:tcW w:w="2322" w:type="dxa"/>
            <w:hideMark/>
          </w:tcPr>
          <w:p w14:paraId="7C3DB50E" w14:textId="77777777" w:rsidR="00E41614" w:rsidRPr="00E41614" w:rsidRDefault="00E41614">
            <w:pPr>
              <w:rPr>
                <w:rFonts w:ascii="Calibri" w:hAnsi="Calibri"/>
                <w:sz w:val="22"/>
                <w:szCs w:val="22"/>
              </w:rPr>
            </w:pPr>
            <w:r w:rsidRPr="00E41614">
              <w:rPr>
                <w:rFonts w:ascii="Calibri" w:hAnsi="Calibri"/>
                <w:sz w:val="22"/>
                <w:szCs w:val="22"/>
              </w:rPr>
              <w:t>Republika Hrvatska</w:t>
            </w:r>
          </w:p>
        </w:tc>
        <w:tc>
          <w:tcPr>
            <w:tcW w:w="1603" w:type="dxa"/>
            <w:hideMark/>
          </w:tcPr>
          <w:p w14:paraId="6657CDC6"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1459" w:type="dxa"/>
            <w:hideMark/>
          </w:tcPr>
          <w:p w14:paraId="517E1027"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2866" w:type="dxa"/>
            <w:hideMark/>
          </w:tcPr>
          <w:p w14:paraId="6C3E7F3B" w14:textId="77777777" w:rsidR="00E41614" w:rsidRPr="00E41614" w:rsidRDefault="00E41614">
            <w:pPr>
              <w:rPr>
                <w:rFonts w:ascii="Calibri" w:hAnsi="Calibri"/>
                <w:sz w:val="22"/>
                <w:szCs w:val="22"/>
              </w:rPr>
            </w:pPr>
            <w:r w:rsidRPr="00E41614">
              <w:rPr>
                <w:rFonts w:ascii="Calibri" w:hAnsi="Calibri"/>
                <w:sz w:val="22"/>
                <w:szCs w:val="22"/>
              </w:rPr>
              <w:t>Uprava zračnog prometa, elektroničkih komunikacija i pošte</w:t>
            </w:r>
          </w:p>
        </w:tc>
        <w:tc>
          <w:tcPr>
            <w:tcW w:w="3059" w:type="dxa"/>
            <w:hideMark/>
          </w:tcPr>
          <w:p w14:paraId="34A3FD2F" w14:textId="77777777" w:rsidR="00E41614" w:rsidRPr="00E41614" w:rsidRDefault="0074387A">
            <w:pPr>
              <w:rPr>
                <w:rFonts w:ascii="Calibri" w:hAnsi="Calibri"/>
                <w:sz w:val="22"/>
                <w:szCs w:val="22"/>
                <w:u w:val="single"/>
              </w:rPr>
            </w:pPr>
            <w:hyperlink r:id="rId37" w:history="1">
              <w:r w:rsidR="00E41614" w:rsidRPr="00E41614">
                <w:rPr>
                  <w:rStyle w:val="Hiperveza"/>
                  <w:rFonts w:ascii="Calibri" w:hAnsi="Calibri"/>
                  <w:sz w:val="22"/>
                  <w:szCs w:val="22"/>
                </w:rPr>
                <w:t>OIV - Godišnje izvješće o radu</w:t>
              </w:r>
            </w:hyperlink>
          </w:p>
        </w:tc>
      </w:tr>
      <w:tr w:rsidR="000830AF" w:rsidRPr="00E41614" w14:paraId="20A61C76" w14:textId="77777777" w:rsidTr="000830AF">
        <w:trPr>
          <w:trHeight w:val="979"/>
        </w:trPr>
        <w:tc>
          <w:tcPr>
            <w:tcW w:w="610" w:type="dxa"/>
            <w:hideMark/>
          </w:tcPr>
          <w:p w14:paraId="0E989E03" w14:textId="507C5964" w:rsidR="00E41614" w:rsidRPr="00E41614" w:rsidRDefault="00E41614" w:rsidP="00E41614">
            <w:pPr>
              <w:rPr>
                <w:rFonts w:ascii="Calibri" w:hAnsi="Calibri"/>
                <w:sz w:val="22"/>
                <w:szCs w:val="22"/>
              </w:rPr>
            </w:pPr>
            <w:r w:rsidRPr="00E41614">
              <w:rPr>
                <w:rFonts w:ascii="Calibri" w:hAnsi="Calibri"/>
                <w:sz w:val="22"/>
                <w:szCs w:val="22"/>
              </w:rPr>
              <w:t>3</w:t>
            </w:r>
            <w:r w:rsidR="002A59D8">
              <w:rPr>
                <w:rFonts w:ascii="Calibri" w:hAnsi="Calibri"/>
                <w:sz w:val="22"/>
                <w:szCs w:val="22"/>
              </w:rPr>
              <w:t>.</w:t>
            </w:r>
          </w:p>
        </w:tc>
        <w:tc>
          <w:tcPr>
            <w:tcW w:w="3670" w:type="dxa"/>
            <w:hideMark/>
          </w:tcPr>
          <w:p w14:paraId="0FF28992" w14:textId="77777777" w:rsidR="00E41614" w:rsidRPr="00E41614" w:rsidRDefault="00E41614">
            <w:pPr>
              <w:rPr>
                <w:rFonts w:ascii="Calibri" w:hAnsi="Calibri"/>
                <w:sz w:val="22"/>
                <w:szCs w:val="22"/>
              </w:rPr>
            </w:pPr>
            <w:r w:rsidRPr="00E41614">
              <w:rPr>
                <w:rFonts w:ascii="Calibri" w:hAnsi="Calibri"/>
                <w:sz w:val="22"/>
                <w:szCs w:val="22"/>
              </w:rPr>
              <w:t>HP - Hrvatska pošta</w:t>
            </w:r>
          </w:p>
        </w:tc>
        <w:tc>
          <w:tcPr>
            <w:tcW w:w="3418" w:type="dxa"/>
            <w:hideMark/>
          </w:tcPr>
          <w:p w14:paraId="66946D85" w14:textId="77777777" w:rsidR="00E41614" w:rsidRPr="00E41614" w:rsidRDefault="00E41614">
            <w:pPr>
              <w:rPr>
                <w:rFonts w:ascii="Calibri" w:hAnsi="Calibri"/>
                <w:sz w:val="22"/>
                <w:szCs w:val="22"/>
              </w:rPr>
            </w:pPr>
            <w:r w:rsidRPr="00E41614">
              <w:rPr>
                <w:rFonts w:ascii="Calibri" w:hAnsi="Calibri"/>
                <w:sz w:val="22"/>
                <w:szCs w:val="22"/>
              </w:rPr>
              <w:t>Poštanska ulica 9, Velika Gorica</w:t>
            </w:r>
          </w:p>
        </w:tc>
        <w:tc>
          <w:tcPr>
            <w:tcW w:w="1653" w:type="dxa"/>
            <w:hideMark/>
          </w:tcPr>
          <w:p w14:paraId="673A6C18" w14:textId="77777777" w:rsidR="00E41614" w:rsidRPr="00E41614" w:rsidRDefault="00E41614" w:rsidP="00E41614">
            <w:pPr>
              <w:rPr>
                <w:rFonts w:ascii="Calibri" w:hAnsi="Calibri"/>
                <w:sz w:val="22"/>
                <w:szCs w:val="22"/>
              </w:rPr>
            </w:pPr>
            <w:r w:rsidRPr="00E41614">
              <w:rPr>
                <w:rFonts w:ascii="Calibri" w:hAnsi="Calibri"/>
                <w:sz w:val="22"/>
                <w:szCs w:val="22"/>
              </w:rPr>
              <w:t>87311810356</w:t>
            </w:r>
          </w:p>
        </w:tc>
        <w:tc>
          <w:tcPr>
            <w:tcW w:w="1014" w:type="dxa"/>
            <w:hideMark/>
          </w:tcPr>
          <w:p w14:paraId="4751BA52" w14:textId="77777777" w:rsidR="00E41614" w:rsidRPr="00E41614" w:rsidRDefault="00E41614" w:rsidP="00E41614">
            <w:pPr>
              <w:rPr>
                <w:rFonts w:ascii="Calibri" w:hAnsi="Calibri"/>
                <w:sz w:val="22"/>
                <w:szCs w:val="22"/>
              </w:rPr>
            </w:pPr>
            <w:r w:rsidRPr="00E41614">
              <w:rPr>
                <w:rFonts w:ascii="Calibri" w:hAnsi="Calibri"/>
                <w:sz w:val="22"/>
                <w:szCs w:val="22"/>
              </w:rPr>
              <w:t>d.d.</w:t>
            </w:r>
          </w:p>
        </w:tc>
        <w:tc>
          <w:tcPr>
            <w:tcW w:w="2322" w:type="dxa"/>
            <w:hideMark/>
          </w:tcPr>
          <w:p w14:paraId="2565C152" w14:textId="77777777" w:rsidR="00E41614" w:rsidRPr="00E41614" w:rsidRDefault="00E41614">
            <w:pPr>
              <w:rPr>
                <w:rFonts w:ascii="Calibri" w:hAnsi="Calibri"/>
                <w:sz w:val="22"/>
                <w:szCs w:val="22"/>
              </w:rPr>
            </w:pPr>
            <w:r w:rsidRPr="00E41614">
              <w:rPr>
                <w:rFonts w:ascii="Calibri" w:hAnsi="Calibri"/>
                <w:sz w:val="22"/>
                <w:szCs w:val="22"/>
              </w:rPr>
              <w:t>Republika Hrvatska</w:t>
            </w:r>
          </w:p>
        </w:tc>
        <w:tc>
          <w:tcPr>
            <w:tcW w:w="1603" w:type="dxa"/>
            <w:hideMark/>
          </w:tcPr>
          <w:p w14:paraId="4BB61EFC"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1459" w:type="dxa"/>
            <w:hideMark/>
          </w:tcPr>
          <w:p w14:paraId="24CF8C3B"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2866" w:type="dxa"/>
            <w:hideMark/>
          </w:tcPr>
          <w:p w14:paraId="49436F60" w14:textId="77777777" w:rsidR="00E41614" w:rsidRPr="00E41614" w:rsidRDefault="00E41614">
            <w:pPr>
              <w:rPr>
                <w:rFonts w:ascii="Calibri" w:hAnsi="Calibri"/>
                <w:sz w:val="22"/>
                <w:szCs w:val="22"/>
              </w:rPr>
            </w:pPr>
            <w:r w:rsidRPr="00E41614">
              <w:rPr>
                <w:rFonts w:ascii="Calibri" w:hAnsi="Calibri"/>
                <w:sz w:val="22"/>
                <w:szCs w:val="22"/>
              </w:rPr>
              <w:t>Uprava zračnog prometa, elektroničkih komunikacija i pošte</w:t>
            </w:r>
          </w:p>
        </w:tc>
        <w:tc>
          <w:tcPr>
            <w:tcW w:w="3059" w:type="dxa"/>
            <w:hideMark/>
          </w:tcPr>
          <w:p w14:paraId="3B149BB4" w14:textId="77777777" w:rsidR="00E41614" w:rsidRPr="00E41614" w:rsidRDefault="0074387A">
            <w:pPr>
              <w:rPr>
                <w:rFonts w:ascii="Calibri" w:hAnsi="Calibri"/>
                <w:sz w:val="22"/>
                <w:szCs w:val="22"/>
                <w:u w:val="single"/>
              </w:rPr>
            </w:pPr>
            <w:hyperlink r:id="rId38" w:history="1">
              <w:r w:rsidR="00E41614" w:rsidRPr="00E41614">
                <w:rPr>
                  <w:rStyle w:val="Hiperveza"/>
                  <w:rFonts w:ascii="Calibri" w:hAnsi="Calibri"/>
                  <w:sz w:val="22"/>
                  <w:szCs w:val="22"/>
                </w:rPr>
                <w:t>HP - Godišnje financijsko izvješće</w:t>
              </w:r>
            </w:hyperlink>
          </w:p>
        </w:tc>
      </w:tr>
      <w:tr w:rsidR="000830AF" w:rsidRPr="00E41614" w14:paraId="0A45C174" w14:textId="77777777" w:rsidTr="000830AF">
        <w:trPr>
          <w:trHeight w:val="619"/>
        </w:trPr>
        <w:tc>
          <w:tcPr>
            <w:tcW w:w="610" w:type="dxa"/>
            <w:hideMark/>
          </w:tcPr>
          <w:p w14:paraId="1F9EAD11" w14:textId="3AA25623" w:rsidR="00E41614" w:rsidRPr="00E41614" w:rsidRDefault="00E41614" w:rsidP="00E41614">
            <w:pPr>
              <w:rPr>
                <w:rFonts w:ascii="Calibri" w:hAnsi="Calibri"/>
                <w:sz w:val="22"/>
                <w:szCs w:val="22"/>
              </w:rPr>
            </w:pPr>
            <w:r w:rsidRPr="00E41614">
              <w:rPr>
                <w:rFonts w:ascii="Calibri" w:hAnsi="Calibri"/>
                <w:sz w:val="22"/>
                <w:szCs w:val="22"/>
              </w:rPr>
              <w:t>4</w:t>
            </w:r>
            <w:r w:rsidR="002A59D8">
              <w:rPr>
                <w:rFonts w:ascii="Calibri" w:hAnsi="Calibri"/>
                <w:sz w:val="22"/>
                <w:szCs w:val="22"/>
              </w:rPr>
              <w:t>.</w:t>
            </w:r>
          </w:p>
        </w:tc>
        <w:tc>
          <w:tcPr>
            <w:tcW w:w="3670" w:type="dxa"/>
            <w:hideMark/>
          </w:tcPr>
          <w:p w14:paraId="2562229E" w14:textId="77777777" w:rsidR="00E41614" w:rsidRPr="00E41614" w:rsidRDefault="00E41614">
            <w:pPr>
              <w:rPr>
                <w:rFonts w:ascii="Calibri" w:hAnsi="Calibri"/>
                <w:sz w:val="22"/>
                <w:szCs w:val="22"/>
              </w:rPr>
            </w:pPr>
            <w:r w:rsidRPr="00E41614">
              <w:rPr>
                <w:rFonts w:ascii="Calibri" w:hAnsi="Calibri"/>
                <w:sz w:val="22"/>
                <w:szCs w:val="22"/>
              </w:rPr>
              <w:t>Jadrolinija</w:t>
            </w:r>
          </w:p>
        </w:tc>
        <w:tc>
          <w:tcPr>
            <w:tcW w:w="3418" w:type="dxa"/>
            <w:hideMark/>
          </w:tcPr>
          <w:p w14:paraId="40D6DF24" w14:textId="77777777" w:rsidR="00E41614" w:rsidRPr="00E41614" w:rsidRDefault="00E41614">
            <w:pPr>
              <w:rPr>
                <w:rFonts w:ascii="Calibri" w:hAnsi="Calibri"/>
                <w:sz w:val="22"/>
                <w:szCs w:val="22"/>
              </w:rPr>
            </w:pPr>
            <w:r w:rsidRPr="00E41614">
              <w:rPr>
                <w:rFonts w:ascii="Calibri" w:hAnsi="Calibri"/>
                <w:sz w:val="22"/>
                <w:szCs w:val="22"/>
              </w:rPr>
              <w:t>Riva 16, Rijeka</w:t>
            </w:r>
          </w:p>
        </w:tc>
        <w:tc>
          <w:tcPr>
            <w:tcW w:w="1653" w:type="dxa"/>
            <w:hideMark/>
          </w:tcPr>
          <w:p w14:paraId="0E3B3675" w14:textId="77777777" w:rsidR="00E41614" w:rsidRPr="00E41614" w:rsidRDefault="00E41614" w:rsidP="00E41614">
            <w:pPr>
              <w:rPr>
                <w:rFonts w:ascii="Calibri" w:hAnsi="Calibri"/>
                <w:sz w:val="22"/>
                <w:szCs w:val="22"/>
              </w:rPr>
            </w:pPr>
            <w:r w:rsidRPr="00E41614">
              <w:rPr>
                <w:rFonts w:ascii="Calibri" w:hAnsi="Calibri"/>
                <w:sz w:val="22"/>
                <w:szCs w:val="22"/>
              </w:rPr>
              <w:t>38453148181</w:t>
            </w:r>
          </w:p>
        </w:tc>
        <w:tc>
          <w:tcPr>
            <w:tcW w:w="1014" w:type="dxa"/>
            <w:hideMark/>
          </w:tcPr>
          <w:p w14:paraId="10A4D9D5" w14:textId="77777777" w:rsidR="00E41614" w:rsidRPr="00E41614" w:rsidRDefault="00E41614" w:rsidP="00E41614">
            <w:pPr>
              <w:rPr>
                <w:rFonts w:ascii="Calibri" w:hAnsi="Calibri"/>
                <w:sz w:val="22"/>
                <w:szCs w:val="22"/>
              </w:rPr>
            </w:pPr>
            <w:r w:rsidRPr="00E41614">
              <w:rPr>
                <w:rFonts w:ascii="Calibri" w:hAnsi="Calibri"/>
                <w:sz w:val="22"/>
                <w:szCs w:val="22"/>
              </w:rPr>
              <w:t>druga osoba</w:t>
            </w:r>
          </w:p>
        </w:tc>
        <w:tc>
          <w:tcPr>
            <w:tcW w:w="2322" w:type="dxa"/>
            <w:hideMark/>
          </w:tcPr>
          <w:p w14:paraId="1F45841E" w14:textId="77777777" w:rsidR="00E41614" w:rsidRPr="00E41614" w:rsidRDefault="00E41614">
            <w:pPr>
              <w:rPr>
                <w:rFonts w:ascii="Calibri" w:hAnsi="Calibri"/>
                <w:sz w:val="22"/>
                <w:szCs w:val="22"/>
              </w:rPr>
            </w:pPr>
            <w:r w:rsidRPr="00E41614">
              <w:rPr>
                <w:rFonts w:ascii="Calibri" w:hAnsi="Calibri"/>
                <w:sz w:val="22"/>
                <w:szCs w:val="22"/>
              </w:rPr>
              <w:t>Republika Hrvatska</w:t>
            </w:r>
          </w:p>
        </w:tc>
        <w:tc>
          <w:tcPr>
            <w:tcW w:w="1603" w:type="dxa"/>
            <w:hideMark/>
          </w:tcPr>
          <w:p w14:paraId="48EA2E2B"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1459" w:type="dxa"/>
            <w:hideMark/>
          </w:tcPr>
          <w:p w14:paraId="5AF9F518"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2866" w:type="dxa"/>
            <w:hideMark/>
          </w:tcPr>
          <w:p w14:paraId="423C92E1" w14:textId="77777777" w:rsidR="00E41614" w:rsidRPr="00E41614" w:rsidRDefault="00E41614">
            <w:pPr>
              <w:rPr>
                <w:rFonts w:ascii="Calibri" w:hAnsi="Calibri"/>
                <w:sz w:val="22"/>
                <w:szCs w:val="22"/>
              </w:rPr>
            </w:pPr>
            <w:r w:rsidRPr="00E41614">
              <w:rPr>
                <w:rFonts w:ascii="Calibri" w:hAnsi="Calibri"/>
                <w:sz w:val="22"/>
                <w:szCs w:val="22"/>
              </w:rPr>
              <w:t>Uprava pomorstva</w:t>
            </w:r>
          </w:p>
        </w:tc>
        <w:tc>
          <w:tcPr>
            <w:tcW w:w="3059" w:type="dxa"/>
            <w:hideMark/>
          </w:tcPr>
          <w:p w14:paraId="28DB9091" w14:textId="77777777" w:rsidR="00E41614" w:rsidRPr="00E41614" w:rsidRDefault="0074387A">
            <w:pPr>
              <w:rPr>
                <w:rFonts w:ascii="Calibri" w:hAnsi="Calibri"/>
                <w:sz w:val="22"/>
                <w:szCs w:val="22"/>
                <w:u w:val="single"/>
              </w:rPr>
            </w:pPr>
            <w:hyperlink r:id="rId39" w:history="1">
              <w:r w:rsidR="00E41614" w:rsidRPr="00E41614">
                <w:rPr>
                  <w:rStyle w:val="Hiperveza"/>
                  <w:rFonts w:ascii="Calibri" w:hAnsi="Calibri"/>
                  <w:sz w:val="22"/>
                  <w:szCs w:val="22"/>
                </w:rPr>
                <w:t>Jadrolinija - Godišnje financijsko izvješće</w:t>
              </w:r>
            </w:hyperlink>
          </w:p>
        </w:tc>
      </w:tr>
      <w:tr w:rsidR="000830AF" w:rsidRPr="00E41614" w14:paraId="724327D6" w14:textId="77777777" w:rsidTr="000830AF">
        <w:trPr>
          <w:trHeight w:val="619"/>
        </w:trPr>
        <w:tc>
          <w:tcPr>
            <w:tcW w:w="610" w:type="dxa"/>
            <w:hideMark/>
          </w:tcPr>
          <w:p w14:paraId="311B2A27" w14:textId="4C31F9CE" w:rsidR="00E41614" w:rsidRPr="00E41614" w:rsidRDefault="00E41614" w:rsidP="00E41614">
            <w:pPr>
              <w:rPr>
                <w:rFonts w:ascii="Calibri" w:hAnsi="Calibri"/>
                <w:sz w:val="22"/>
                <w:szCs w:val="22"/>
              </w:rPr>
            </w:pPr>
            <w:r w:rsidRPr="00E41614">
              <w:rPr>
                <w:rFonts w:ascii="Calibri" w:hAnsi="Calibri"/>
                <w:sz w:val="22"/>
                <w:szCs w:val="22"/>
              </w:rPr>
              <w:t>5</w:t>
            </w:r>
            <w:r w:rsidR="002A59D8">
              <w:rPr>
                <w:rFonts w:ascii="Calibri" w:hAnsi="Calibri"/>
                <w:sz w:val="22"/>
                <w:szCs w:val="22"/>
              </w:rPr>
              <w:t>.</w:t>
            </w:r>
          </w:p>
        </w:tc>
        <w:tc>
          <w:tcPr>
            <w:tcW w:w="3670" w:type="dxa"/>
            <w:hideMark/>
          </w:tcPr>
          <w:p w14:paraId="7A2CD7AE" w14:textId="77777777" w:rsidR="00E41614" w:rsidRPr="00E41614" w:rsidRDefault="00E41614">
            <w:pPr>
              <w:rPr>
                <w:rFonts w:ascii="Calibri" w:hAnsi="Calibri"/>
                <w:sz w:val="22"/>
                <w:szCs w:val="22"/>
              </w:rPr>
            </w:pPr>
            <w:proofErr w:type="spellStart"/>
            <w:r w:rsidRPr="00E41614">
              <w:rPr>
                <w:rFonts w:ascii="Calibri" w:hAnsi="Calibri"/>
                <w:sz w:val="22"/>
                <w:szCs w:val="22"/>
              </w:rPr>
              <w:t>Plovput</w:t>
            </w:r>
            <w:proofErr w:type="spellEnd"/>
          </w:p>
        </w:tc>
        <w:tc>
          <w:tcPr>
            <w:tcW w:w="3418" w:type="dxa"/>
            <w:hideMark/>
          </w:tcPr>
          <w:p w14:paraId="255B3349" w14:textId="77777777" w:rsidR="00E41614" w:rsidRPr="00E41614" w:rsidRDefault="00E41614">
            <w:pPr>
              <w:rPr>
                <w:rFonts w:ascii="Calibri" w:hAnsi="Calibri"/>
                <w:sz w:val="22"/>
                <w:szCs w:val="22"/>
              </w:rPr>
            </w:pPr>
            <w:r w:rsidRPr="00E41614">
              <w:rPr>
                <w:rFonts w:ascii="Calibri" w:hAnsi="Calibri"/>
                <w:sz w:val="22"/>
                <w:szCs w:val="22"/>
              </w:rPr>
              <w:t>Obala Lazareta 1, Split</w:t>
            </w:r>
          </w:p>
        </w:tc>
        <w:tc>
          <w:tcPr>
            <w:tcW w:w="1653" w:type="dxa"/>
            <w:hideMark/>
          </w:tcPr>
          <w:p w14:paraId="36CB41C6" w14:textId="77777777" w:rsidR="00E41614" w:rsidRPr="00E41614" w:rsidRDefault="00E41614" w:rsidP="00E41614">
            <w:pPr>
              <w:rPr>
                <w:rFonts w:ascii="Calibri" w:hAnsi="Calibri"/>
                <w:sz w:val="22"/>
                <w:szCs w:val="22"/>
              </w:rPr>
            </w:pPr>
            <w:r w:rsidRPr="00E41614">
              <w:rPr>
                <w:rFonts w:ascii="Calibri" w:hAnsi="Calibri"/>
                <w:sz w:val="22"/>
                <w:szCs w:val="22"/>
              </w:rPr>
              <w:t>14480721492</w:t>
            </w:r>
          </w:p>
        </w:tc>
        <w:tc>
          <w:tcPr>
            <w:tcW w:w="1014" w:type="dxa"/>
            <w:hideMark/>
          </w:tcPr>
          <w:p w14:paraId="2EA722FF" w14:textId="77777777" w:rsidR="00E41614" w:rsidRPr="00E41614" w:rsidRDefault="00E41614" w:rsidP="00E41614">
            <w:pPr>
              <w:rPr>
                <w:rFonts w:ascii="Calibri" w:hAnsi="Calibri"/>
                <w:sz w:val="22"/>
                <w:szCs w:val="22"/>
              </w:rPr>
            </w:pPr>
            <w:r w:rsidRPr="00E41614">
              <w:rPr>
                <w:rFonts w:ascii="Calibri" w:hAnsi="Calibri"/>
                <w:sz w:val="22"/>
                <w:szCs w:val="22"/>
              </w:rPr>
              <w:t>d.o.o.</w:t>
            </w:r>
          </w:p>
        </w:tc>
        <w:tc>
          <w:tcPr>
            <w:tcW w:w="2322" w:type="dxa"/>
            <w:hideMark/>
          </w:tcPr>
          <w:p w14:paraId="5CF650D9" w14:textId="77777777" w:rsidR="00E41614" w:rsidRPr="00E41614" w:rsidRDefault="00E41614">
            <w:pPr>
              <w:rPr>
                <w:rFonts w:ascii="Calibri" w:hAnsi="Calibri"/>
                <w:sz w:val="22"/>
                <w:szCs w:val="22"/>
              </w:rPr>
            </w:pPr>
            <w:r w:rsidRPr="00E41614">
              <w:rPr>
                <w:rFonts w:ascii="Calibri" w:hAnsi="Calibri"/>
                <w:sz w:val="22"/>
                <w:szCs w:val="22"/>
              </w:rPr>
              <w:t>Republika Hrvatska</w:t>
            </w:r>
          </w:p>
        </w:tc>
        <w:tc>
          <w:tcPr>
            <w:tcW w:w="1603" w:type="dxa"/>
            <w:hideMark/>
          </w:tcPr>
          <w:p w14:paraId="70888838"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1459" w:type="dxa"/>
            <w:hideMark/>
          </w:tcPr>
          <w:p w14:paraId="40DEC20E"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2866" w:type="dxa"/>
            <w:hideMark/>
          </w:tcPr>
          <w:p w14:paraId="3CC77AB6" w14:textId="77777777" w:rsidR="00E41614" w:rsidRPr="00E41614" w:rsidRDefault="00E41614">
            <w:pPr>
              <w:rPr>
                <w:rFonts w:ascii="Calibri" w:hAnsi="Calibri"/>
                <w:sz w:val="22"/>
                <w:szCs w:val="22"/>
              </w:rPr>
            </w:pPr>
            <w:r w:rsidRPr="00E41614">
              <w:rPr>
                <w:rFonts w:ascii="Calibri" w:hAnsi="Calibri"/>
                <w:sz w:val="22"/>
                <w:szCs w:val="22"/>
              </w:rPr>
              <w:t>Uprava sigurnosti plovidbe</w:t>
            </w:r>
          </w:p>
        </w:tc>
        <w:tc>
          <w:tcPr>
            <w:tcW w:w="3059" w:type="dxa"/>
            <w:hideMark/>
          </w:tcPr>
          <w:p w14:paraId="4BBB79F9" w14:textId="77777777" w:rsidR="00E41614" w:rsidRPr="00E41614" w:rsidRDefault="0074387A">
            <w:pPr>
              <w:rPr>
                <w:rFonts w:ascii="Calibri" w:hAnsi="Calibri"/>
                <w:sz w:val="22"/>
                <w:szCs w:val="22"/>
                <w:u w:val="single"/>
              </w:rPr>
            </w:pPr>
            <w:hyperlink r:id="rId40" w:history="1">
              <w:proofErr w:type="spellStart"/>
              <w:r w:rsidR="00E41614" w:rsidRPr="00E41614">
                <w:rPr>
                  <w:rStyle w:val="Hiperveza"/>
                  <w:rFonts w:ascii="Calibri" w:hAnsi="Calibri"/>
                  <w:sz w:val="22"/>
                  <w:szCs w:val="22"/>
                </w:rPr>
                <w:t>Plovput</w:t>
              </w:r>
              <w:proofErr w:type="spellEnd"/>
              <w:r w:rsidR="00E41614" w:rsidRPr="00E41614">
                <w:rPr>
                  <w:rStyle w:val="Hiperveza"/>
                  <w:rFonts w:ascii="Calibri" w:hAnsi="Calibri"/>
                  <w:sz w:val="22"/>
                  <w:szCs w:val="22"/>
                </w:rPr>
                <w:t xml:space="preserve"> - Godišnje izvješće o radu</w:t>
              </w:r>
            </w:hyperlink>
          </w:p>
        </w:tc>
      </w:tr>
      <w:tr w:rsidR="000830AF" w:rsidRPr="00E41614" w14:paraId="38A793E9" w14:textId="77777777" w:rsidTr="000830AF">
        <w:trPr>
          <w:trHeight w:val="619"/>
        </w:trPr>
        <w:tc>
          <w:tcPr>
            <w:tcW w:w="610" w:type="dxa"/>
            <w:hideMark/>
          </w:tcPr>
          <w:p w14:paraId="155C298A" w14:textId="274090F3" w:rsidR="00E41614" w:rsidRPr="00E41614" w:rsidRDefault="00E41614" w:rsidP="00E41614">
            <w:pPr>
              <w:rPr>
                <w:rFonts w:ascii="Calibri" w:hAnsi="Calibri"/>
                <w:sz w:val="22"/>
                <w:szCs w:val="22"/>
              </w:rPr>
            </w:pPr>
            <w:r w:rsidRPr="00E41614">
              <w:rPr>
                <w:rFonts w:ascii="Calibri" w:hAnsi="Calibri"/>
                <w:sz w:val="22"/>
                <w:szCs w:val="22"/>
              </w:rPr>
              <w:t>6</w:t>
            </w:r>
            <w:r w:rsidR="002A59D8">
              <w:rPr>
                <w:rFonts w:ascii="Calibri" w:hAnsi="Calibri"/>
                <w:sz w:val="22"/>
                <w:szCs w:val="22"/>
              </w:rPr>
              <w:t>.</w:t>
            </w:r>
          </w:p>
        </w:tc>
        <w:tc>
          <w:tcPr>
            <w:tcW w:w="3670" w:type="dxa"/>
            <w:hideMark/>
          </w:tcPr>
          <w:p w14:paraId="0BB26316" w14:textId="77777777" w:rsidR="00E41614" w:rsidRPr="00E41614" w:rsidRDefault="00E41614">
            <w:pPr>
              <w:rPr>
                <w:rFonts w:ascii="Calibri" w:hAnsi="Calibri"/>
                <w:sz w:val="22"/>
                <w:szCs w:val="22"/>
              </w:rPr>
            </w:pPr>
            <w:r w:rsidRPr="00E41614">
              <w:rPr>
                <w:rFonts w:ascii="Calibri" w:hAnsi="Calibri"/>
                <w:sz w:val="22"/>
                <w:szCs w:val="22"/>
              </w:rPr>
              <w:t xml:space="preserve">HŽ </w:t>
            </w:r>
            <w:proofErr w:type="spellStart"/>
            <w:r w:rsidRPr="00E41614">
              <w:rPr>
                <w:rFonts w:ascii="Calibri" w:hAnsi="Calibri"/>
                <w:sz w:val="22"/>
                <w:szCs w:val="22"/>
              </w:rPr>
              <w:t>Cargo</w:t>
            </w:r>
            <w:proofErr w:type="spellEnd"/>
          </w:p>
        </w:tc>
        <w:tc>
          <w:tcPr>
            <w:tcW w:w="3418" w:type="dxa"/>
            <w:hideMark/>
          </w:tcPr>
          <w:p w14:paraId="558FEF33" w14:textId="77777777" w:rsidR="00E41614" w:rsidRPr="00E41614" w:rsidRDefault="00E41614">
            <w:pPr>
              <w:rPr>
                <w:rFonts w:ascii="Calibri" w:hAnsi="Calibri"/>
                <w:sz w:val="22"/>
                <w:szCs w:val="22"/>
              </w:rPr>
            </w:pPr>
            <w:proofErr w:type="spellStart"/>
            <w:r w:rsidRPr="00E41614">
              <w:rPr>
                <w:rFonts w:ascii="Calibri" w:hAnsi="Calibri"/>
                <w:sz w:val="22"/>
                <w:szCs w:val="22"/>
              </w:rPr>
              <w:t>Heinzelova</w:t>
            </w:r>
            <w:proofErr w:type="spellEnd"/>
            <w:r w:rsidRPr="00E41614">
              <w:rPr>
                <w:rFonts w:ascii="Calibri" w:hAnsi="Calibri"/>
                <w:sz w:val="22"/>
                <w:szCs w:val="22"/>
              </w:rPr>
              <w:t xml:space="preserve"> 51, Zagreb</w:t>
            </w:r>
          </w:p>
        </w:tc>
        <w:tc>
          <w:tcPr>
            <w:tcW w:w="1653" w:type="dxa"/>
            <w:hideMark/>
          </w:tcPr>
          <w:p w14:paraId="0DD857D0" w14:textId="77777777" w:rsidR="00E41614" w:rsidRPr="00E41614" w:rsidRDefault="00E41614" w:rsidP="00E41614">
            <w:pPr>
              <w:rPr>
                <w:rFonts w:ascii="Calibri" w:hAnsi="Calibri"/>
                <w:sz w:val="22"/>
                <w:szCs w:val="22"/>
              </w:rPr>
            </w:pPr>
            <w:r w:rsidRPr="00E41614">
              <w:rPr>
                <w:rFonts w:ascii="Calibri" w:hAnsi="Calibri"/>
                <w:sz w:val="22"/>
                <w:szCs w:val="22"/>
              </w:rPr>
              <w:t>08720210702</w:t>
            </w:r>
          </w:p>
        </w:tc>
        <w:tc>
          <w:tcPr>
            <w:tcW w:w="1014" w:type="dxa"/>
            <w:hideMark/>
          </w:tcPr>
          <w:p w14:paraId="3FAD89B3" w14:textId="77777777" w:rsidR="00E41614" w:rsidRPr="00E41614" w:rsidRDefault="00E41614" w:rsidP="00E41614">
            <w:pPr>
              <w:rPr>
                <w:rFonts w:ascii="Calibri" w:hAnsi="Calibri"/>
                <w:sz w:val="22"/>
                <w:szCs w:val="22"/>
              </w:rPr>
            </w:pPr>
            <w:r w:rsidRPr="00E41614">
              <w:rPr>
                <w:rFonts w:ascii="Calibri" w:hAnsi="Calibri"/>
                <w:sz w:val="22"/>
                <w:szCs w:val="22"/>
              </w:rPr>
              <w:t>d.o.o.</w:t>
            </w:r>
          </w:p>
        </w:tc>
        <w:tc>
          <w:tcPr>
            <w:tcW w:w="2322" w:type="dxa"/>
            <w:hideMark/>
          </w:tcPr>
          <w:p w14:paraId="7F886846" w14:textId="77777777" w:rsidR="00E41614" w:rsidRPr="00E41614" w:rsidRDefault="00E41614">
            <w:pPr>
              <w:rPr>
                <w:rFonts w:ascii="Calibri" w:hAnsi="Calibri"/>
                <w:sz w:val="22"/>
                <w:szCs w:val="22"/>
              </w:rPr>
            </w:pPr>
            <w:r w:rsidRPr="00E41614">
              <w:rPr>
                <w:rFonts w:ascii="Calibri" w:hAnsi="Calibri"/>
                <w:sz w:val="22"/>
                <w:szCs w:val="22"/>
              </w:rPr>
              <w:t>Republika Hrvatska</w:t>
            </w:r>
          </w:p>
        </w:tc>
        <w:tc>
          <w:tcPr>
            <w:tcW w:w="1603" w:type="dxa"/>
            <w:hideMark/>
          </w:tcPr>
          <w:p w14:paraId="2F1533E0"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1459" w:type="dxa"/>
            <w:hideMark/>
          </w:tcPr>
          <w:p w14:paraId="5B73E852"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2866" w:type="dxa"/>
            <w:hideMark/>
          </w:tcPr>
          <w:p w14:paraId="08A48ABA" w14:textId="77777777" w:rsidR="00E41614" w:rsidRPr="00E41614" w:rsidRDefault="00E41614">
            <w:pPr>
              <w:rPr>
                <w:rFonts w:ascii="Calibri" w:hAnsi="Calibri"/>
                <w:sz w:val="22"/>
                <w:szCs w:val="22"/>
              </w:rPr>
            </w:pPr>
            <w:r w:rsidRPr="00E41614">
              <w:rPr>
                <w:rFonts w:ascii="Calibri" w:hAnsi="Calibri"/>
                <w:sz w:val="22"/>
                <w:szCs w:val="22"/>
              </w:rPr>
              <w:t>Uprava za željezničku infrastrukturu i promet</w:t>
            </w:r>
          </w:p>
        </w:tc>
        <w:tc>
          <w:tcPr>
            <w:tcW w:w="3059" w:type="dxa"/>
            <w:hideMark/>
          </w:tcPr>
          <w:p w14:paraId="2B6ABB7E" w14:textId="77777777" w:rsidR="00E41614" w:rsidRPr="00E41614" w:rsidRDefault="0074387A">
            <w:pPr>
              <w:rPr>
                <w:rFonts w:ascii="Calibri" w:hAnsi="Calibri"/>
                <w:sz w:val="22"/>
                <w:szCs w:val="22"/>
                <w:u w:val="single"/>
              </w:rPr>
            </w:pPr>
            <w:hyperlink r:id="rId41" w:history="1">
              <w:r w:rsidR="00E41614" w:rsidRPr="00E41614">
                <w:rPr>
                  <w:rStyle w:val="Hiperveza"/>
                  <w:rFonts w:ascii="Calibri" w:hAnsi="Calibri"/>
                  <w:sz w:val="22"/>
                  <w:szCs w:val="22"/>
                </w:rPr>
                <w:t xml:space="preserve">HŽ </w:t>
              </w:r>
              <w:proofErr w:type="spellStart"/>
              <w:r w:rsidR="00E41614" w:rsidRPr="00E41614">
                <w:rPr>
                  <w:rStyle w:val="Hiperveza"/>
                  <w:rFonts w:ascii="Calibri" w:hAnsi="Calibri"/>
                  <w:sz w:val="22"/>
                  <w:szCs w:val="22"/>
                </w:rPr>
                <w:t>Cargo</w:t>
              </w:r>
              <w:proofErr w:type="spellEnd"/>
              <w:r w:rsidR="00E41614" w:rsidRPr="00E41614">
                <w:rPr>
                  <w:rStyle w:val="Hiperveza"/>
                  <w:rFonts w:ascii="Calibri" w:hAnsi="Calibri"/>
                  <w:sz w:val="22"/>
                  <w:szCs w:val="22"/>
                </w:rPr>
                <w:t xml:space="preserve"> - Godišnje financijsko izvješće</w:t>
              </w:r>
            </w:hyperlink>
          </w:p>
        </w:tc>
      </w:tr>
      <w:tr w:rsidR="000830AF" w:rsidRPr="00E41614" w14:paraId="0C9F8D64" w14:textId="77777777" w:rsidTr="000830AF">
        <w:trPr>
          <w:trHeight w:val="619"/>
        </w:trPr>
        <w:tc>
          <w:tcPr>
            <w:tcW w:w="610" w:type="dxa"/>
            <w:hideMark/>
          </w:tcPr>
          <w:p w14:paraId="0FE221E5" w14:textId="2A7910C9" w:rsidR="00E41614" w:rsidRPr="00E41614" w:rsidRDefault="00E41614" w:rsidP="00E41614">
            <w:pPr>
              <w:rPr>
                <w:rFonts w:ascii="Calibri" w:hAnsi="Calibri"/>
                <w:sz w:val="22"/>
                <w:szCs w:val="22"/>
              </w:rPr>
            </w:pPr>
            <w:r w:rsidRPr="00E41614">
              <w:rPr>
                <w:rFonts w:ascii="Calibri" w:hAnsi="Calibri"/>
                <w:sz w:val="22"/>
                <w:szCs w:val="22"/>
              </w:rPr>
              <w:t>7</w:t>
            </w:r>
            <w:r w:rsidR="002A59D8">
              <w:rPr>
                <w:rFonts w:ascii="Calibri" w:hAnsi="Calibri"/>
                <w:sz w:val="22"/>
                <w:szCs w:val="22"/>
              </w:rPr>
              <w:t>.</w:t>
            </w:r>
          </w:p>
        </w:tc>
        <w:tc>
          <w:tcPr>
            <w:tcW w:w="3670" w:type="dxa"/>
            <w:hideMark/>
          </w:tcPr>
          <w:p w14:paraId="713B1645" w14:textId="77777777" w:rsidR="00E41614" w:rsidRPr="00E41614" w:rsidRDefault="00E41614">
            <w:pPr>
              <w:rPr>
                <w:rFonts w:ascii="Calibri" w:hAnsi="Calibri"/>
                <w:sz w:val="22"/>
                <w:szCs w:val="22"/>
              </w:rPr>
            </w:pPr>
            <w:r w:rsidRPr="00E41614">
              <w:rPr>
                <w:rFonts w:ascii="Calibri" w:hAnsi="Calibri"/>
                <w:sz w:val="22"/>
                <w:szCs w:val="22"/>
              </w:rPr>
              <w:t>ACI</w:t>
            </w:r>
          </w:p>
        </w:tc>
        <w:tc>
          <w:tcPr>
            <w:tcW w:w="3418" w:type="dxa"/>
            <w:hideMark/>
          </w:tcPr>
          <w:p w14:paraId="02D24B3B" w14:textId="77777777" w:rsidR="00E41614" w:rsidRPr="00E41614" w:rsidRDefault="00E41614">
            <w:pPr>
              <w:rPr>
                <w:rFonts w:ascii="Calibri" w:hAnsi="Calibri"/>
                <w:sz w:val="22"/>
                <w:szCs w:val="22"/>
              </w:rPr>
            </w:pPr>
            <w:r w:rsidRPr="00E41614">
              <w:rPr>
                <w:rFonts w:ascii="Calibri" w:hAnsi="Calibri"/>
                <w:sz w:val="22"/>
                <w:szCs w:val="22"/>
              </w:rPr>
              <w:t xml:space="preserve">Rudolfa </w:t>
            </w:r>
            <w:proofErr w:type="spellStart"/>
            <w:r w:rsidRPr="00E41614">
              <w:rPr>
                <w:rFonts w:ascii="Calibri" w:hAnsi="Calibri"/>
                <w:sz w:val="22"/>
                <w:szCs w:val="22"/>
              </w:rPr>
              <w:t>Strohala</w:t>
            </w:r>
            <w:proofErr w:type="spellEnd"/>
            <w:r w:rsidRPr="00E41614">
              <w:rPr>
                <w:rFonts w:ascii="Calibri" w:hAnsi="Calibri"/>
                <w:sz w:val="22"/>
                <w:szCs w:val="22"/>
              </w:rPr>
              <w:t xml:space="preserve"> 2, Rijeka</w:t>
            </w:r>
          </w:p>
        </w:tc>
        <w:tc>
          <w:tcPr>
            <w:tcW w:w="1653" w:type="dxa"/>
            <w:hideMark/>
          </w:tcPr>
          <w:p w14:paraId="589CDB24" w14:textId="77777777" w:rsidR="00E41614" w:rsidRPr="00E41614" w:rsidRDefault="00E41614" w:rsidP="00E41614">
            <w:pPr>
              <w:rPr>
                <w:rFonts w:ascii="Calibri" w:hAnsi="Calibri"/>
                <w:sz w:val="22"/>
                <w:szCs w:val="22"/>
              </w:rPr>
            </w:pPr>
            <w:r w:rsidRPr="00E41614">
              <w:rPr>
                <w:rFonts w:ascii="Calibri" w:hAnsi="Calibri"/>
                <w:sz w:val="22"/>
                <w:szCs w:val="22"/>
              </w:rPr>
              <w:t>17195049659</w:t>
            </w:r>
          </w:p>
        </w:tc>
        <w:tc>
          <w:tcPr>
            <w:tcW w:w="1014" w:type="dxa"/>
            <w:hideMark/>
          </w:tcPr>
          <w:p w14:paraId="148FE394" w14:textId="77777777" w:rsidR="00E41614" w:rsidRPr="00E41614" w:rsidRDefault="00E41614" w:rsidP="00E41614">
            <w:pPr>
              <w:rPr>
                <w:rFonts w:ascii="Calibri" w:hAnsi="Calibri"/>
                <w:sz w:val="22"/>
                <w:szCs w:val="22"/>
              </w:rPr>
            </w:pPr>
            <w:r w:rsidRPr="00E41614">
              <w:rPr>
                <w:rFonts w:ascii="Calibri" w:hAnsi="Calibri"/>
                <w:sz w:val="22"/>
                <w:szCs w:val="22"/>
              </w:rPr>
              <w:t>d.d.</w:t>
            </w:r>
          </w:p>
        </w:tc>
        <w:tc>
          <w:tcPr>
            <w:tcW w:w="2322" w:type="dxa"/>
            <w:hideMark/>
          </w:tcPr>
          <w:p w14:paraId="6F1A53AB" w14:textId="77777777" w:rsidR="00E41614" w:rsidRPr="00E41614" w:rsidRDefault="00E41614">
            <w:pPr>
              <w:rPr>
                <w:rFonts w:ascii="Calibri" w:hAnsi="Calibri"/>
                <w:sz w:val="22"/>
                <w:szCs w:val="22"/>
              </w:rPr>
            </w:pPr>
            <w:r w:rsidRPr="00E41614">
              <w:rPr>
                <w:rFonts w:ascii="Calibri" w:hAnsi="Calibri"/>
                <w:sz w:val="22"/>
                <w:szCs w:val="22"/>
              </w:rPr>
              <w:t>Republika Hrvatska, dioničari</w:t>
            </w:r>
          </w:p>
        </w:tc>
        <w:tc>
          <w:tcPr>
            <w:tcW w:w="1603" w:type="dxa"/>
            <w:hideMark/>
          </w:tcPr>
          <w:p w14:paraId="6008BC15"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1459" w:type="dxa"/>
            <w:hideMark/>
          </w:tcPr>
          <w:p w14:paraId="4A24604C"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2866" w:type="dxa"/>
            <w:hideMark/>
          </w:tcPr>
          <w:p w14:paraId="708F284F" w14:textId="77777777" w:rsidR="00E41614" w:rsidRPr="00E41614" w:rsidRDefault="00E41614">
            <w:pPr>
              <w:rPr>
                <w:rFonts w:ascii="Calibri" w:hAnsi="Calibri"/>
                <w:sz w:val="22"/>
                <w:szCs w:val="22"/>
              </w:rPr>
            </w:pPr>
            <w:r w:rsidRPr="00E41614">
              <w:rPr>
                <w:rFonts w:ascii="Calibri" w:hAnsi="Calibri"/>
                <w:sz w:val="22"/>
                <w:szCs w:val="22"/>
              </w:rPr>
              <w:t>Uprava pomorstva</w:t>
            </w:r>
          </w:p>
        </w:tc>
        <w:tc>
          <w:tcPr>
            <w:tcW w:w="3059" w:type="dxa"/>
            <w:hideMark/>
          </w:tcPr>
          <w:p w14:paraId="3F0A63B3" w14:textId="77777777" w:rsidR="00E41614" w:rsidRPr="00E41614" w:rsidRDefault="0074387A">
            <w:pPr>
              <w:rPr>
                <w:rFonts w:ascii="Calibri" w:hAnsi="Calibri"/>
                <w:sz w:val="22"/>
                <w:szCs w:val="22"/>
                <w:u w:val="single"/>
              </w:rPr>
            </w:pPr>
            <w:hyperlink r:id="rId42" w:history="1">
              <w:r w:rsidR="00E41614" w:rsidRPr="00E41614">
                <w:rPr>
                  <w:rStyle w:val="Hiperveza"/>
                  <w:rFonts w:ascii="Calibri" w:hAnsi="Calibri"/>
                  <w:sz w:val="22"/>
                  <w:szCs w:val="22"/>
                </w:rPr>
                <w:t>ACI d.d. - Godišnji financijski izvještaj</w:t>
              </w:r>
            </w:hyperlink>
          </w:p>
        </w:tc>
      </w:tr>
      <w:tr w:rsidR="000830AF" w:rsidRPr="00E41614" w14:paraId="422ED155" w14:textId="77777777" w:rsidTr="000830AF">
        <w:trPr>
          <w:trHeight w:val="979"/>
        </w:trPr>
        <w:tc>
          <w:tcPr>
            <w:tcW w:w="610" w:type="dxa"/>
            <w:hideMark/>
          </w:tcPr>
          <w:p w14:paraId="5FFFF41E" w14:textId="14BDC29F" w:rsidR="00E41614" w:rsidRPr="00E41614" w:rsidRDefault="00E41614" w:rsidP="00E41614">
            <w:pPr>
              <w:rPr>
                <w:rFonts w:ascii="Calibri" w:hAnsi="Calibri"/>
                <w:sz w:val="22"/>
                <w:szCs w:val="22"/>
              </w:rPr>
            </w:pPr>
            <w:r w:rsidRPr="00E41614">
              <w:rPr>
                <w:rFonts w:ascii="Calibri" w:hAnsi="Calibri"/>
                <w:sz w:val="22"/>
                <w:szCs w:val="22"/>
              </w:rPr>
              <w:t>8</w:t>
            </w:r>
            <w:r w:rsidR="002A59D8">
              <w:rPr>
                <w:rFonts w:ascii="Calibri" w:hAnsi="Calibri"/>
                <w:sz w:val="22"/>
                <w:szCs w:val="22"/>
              </w:rPr>
              <w:t>.</w:t>
            </w:r>
          </w:p>
        </w:tc>
        <w:tc>
          <w:tcPr>
            <w:tcW w:w="3670" w:type="dxa"/>
            <w:hideMark/>
          </w:tcPr>
          <w:p w14:paraId="794504FA" w14:textId="77777777" w:rsidR="00E41614" w:rsidRPr="00E41614" w:rsidRDefault="00E41614">
            <w:pPr>
              <w:rPr>
                <w:rFonts w:ascii="Calibri" w:hAnsi="Calibri"/>
                <w:sz w:val="22"/>
                <w:szCs w:val="22"/>
              </w:rPr>
            </w:pPr>
            <w:r w:rsidRPr="00E41614">
              <w:rPr>
                <w:rFonts w:ascii="Calibri" w:hAnsi="Calibri"/>
                <w:sz w:val="22"/>
                <w:szCs w:val="22"/>
              </w:rPr>
              <w:t>Croatia Airlines</w:t>
            </w:r>
          </w:p>
        </w:tc>
        <w:tc>
          <w:tcPr>
            <w:tcW w:w="3418" w:type="dxa"/>
            <w:hideMark/>
          </w:tcPr>
          <w:p w14:paraId="67DCE21B" w14:textId="77777777" w:rsidR="00E41614" w:rsidRPr="00E41614" w:rsidRDefault="00E41614">
            <w:pPr>
              <w:rPr>
                <w:rFonts w:ascii="Calibri" w:hAnsi="Calibri"/>
                <w:sz w:val="22"/>
                <w:szCs w:val="22"/>
              </w:rPr>
            </w:pPr>
            <w:r w:rsidRPr="00E41614">
              <w:rPr>
                <w:rFonts w:ascii="Calibri" w:hAnsi="Calibri"/>
                <w:sz w:val="22"/>
                <w:szCs w:val="22"/>
              </w:rPr>
              <w:t>Bani 75b, Zagreb</w:t>
            </w:r>
          </w:p>
        </w:tc>
        <w:tc>
          <w:tcPr>
            <w:tcW w:w="1653" w:type="dxa"/>
            <w:hideMark/>
          </w:tcPr>
          <w:p w14:paraId="1FDB063E" w14:textId="77777777" w:rsidR="00E41614" w:rsidRPr="00E41614" w:rsidRDefault="00E41614" w:rsidP="00E41614">
            <w:pPr>
              <w:rPr>
                <w:rFonts w:ascii="Calibri" w:hAnsi="Calibri"/>
                <w:sz w:val="22"/>
                <w:szCs w:val="22"/>
              </w:rPr>
            </w:pPr>
            <w:r w:rsidRPr="00E41614">
              <w:rPr>
                <w:rFonts w:ascii="Calibri" w:hAnsi="Calibri"/>
                <w:sz w:val="22"/>
                <w:szCs w:val="22"/>
              </w:rPr>
              <w:t>24640993045</w:t>
            </w:r>
          </w:p>
        </w:tc>
        <w:tc>
          <w:tcPr>
            <w:tcW w:w="1014" w:type="dxa"/>
            <w:hideMark/>
          </w:tcPr>
          <w:p w14:paraId="308B4999" w14:textId="77777777" w:rsidR="00E41614" w:rsidRPr="00E41614" w:rsidRDefault="00E41614" w:rsidP="00E41614">
            <w:pPr>
              <w:rPr>
                <w:rFonts w:ascii="Calibri" w:hAnsi="Calibri"/>
                <w:sz w:val="22"/>
                <w:szCs w:val="22"/>
              </w:rPr>
            </w:pPr>
            <w:r w:rsidRPr="00E41614">
              <w:rPr>
                <w:rFonts w:ascii="Calibri" w:hAnsi="Calibri"/>
                <w:sz w:val="22"/>
                <w:szCs w:val="22"/>
              </w:rPr>
              <w:t>d.d.</w:t>
            </w:r>
          </w:p>
        </w:tc>
        <w:tc>
          <w:tcPr>
            <w:tcW w:w="2322" w:type="dxa"/>
            <w:hideMark/>
          </w:tcPr>
          <w:p w14:paraId="6A933A96" w14:textId="77777777" w:rsidR="00E41614" w:rsidRPr="00E41614" w:rsidRDefault="00E41614">
            <w:pPr>
              <w:rPr>
                <w:rFonts w:ascii="Calibri" w:hAnsi="Calibri"/>
                <w:sz w:val="22"/>
                <w:szCs w:val="22"/>
              </w:rPr>
            </w:pPr>
            <w:r w:rsidRPr="00E41614">
              <w:rPr>
                <w:rFonts w:ascii="Calibri" w:hAnsi="Calibri"/>
                <w:sz w:val="22"/>
                <w:szCs w:val="22"/>
              </w:rPr>
              <w:t>Republika Hrvatska, dioničari</w:t>
            </w:r>
          </w:p>
        </w:tc>
        <w:tc>
          <w:tcPr>
            <w:tcW w:w="1603" w:type="dxa"/>
            <w:hideMark/>
          </w:tcPr>
          <w:p w14:paraId="2D3B7BB0"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1459" w:type="dxa"/>
            <w:hideMark/>
          </w:tcPr>
          <w:p w14:paraId="5E04D7B1"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2866" w:type="dxa"/>
            <w:hideMark/>
          </w:tcPr>
          <w:p w14:paraId="7AD38973" w14:textId="77777777" w:rsidR="00E41614" w:rsidRPr="00E41614" w:rsidRDefault="00E41614">
            <w:pPr>
              <w:rPr>
                <w:rFonts w:ascii="Calibri" w:hAnsi="Calibri"/>
                <w:sz w:val="22"/>
                <w:szCs w:val="22"/>
              </w:rPr>
            </w:pPr>
            <w:r w:rsidRPr="00E41614">
              <w:rPr>
                <w:rFonts w:ascii="Calibri" w:hAnsi="Calibri"/>
                <w:sz w:val="22"/>
                <w:szCs w:val="22"/>
              </w:rPr>
              <w:t>Uprava zračnog prometa, elektroničkih komunikacija i pošte</w:t>
            </w:r>
          </w:p>
        </w:tc>
        <w:tc>
          <w:tcPr>
            <w:tcW w:w="3059" w:type="dxa"/>
            <w:hideMark/>
          </w:tcPr>
          <w:p w14:paraId="204CED0D" w14:textId="77777777" w:rsidR="00E41614" w:rsidRPr="00E41614" w:rsidRDefault="0074387A">
            <w:pPr>
              <w:rPr>
                <w:rFonts w:ascii="Calibri" w:hAnsi="Calibri"/>
                <w:sz w:val="22"/>
                <w:szCs w:val="22"/>
                <w:u w:val="single"/>
              </w:rPr>
            </w:pPr>
            <w:hyperlink r:id="rId43" w:history="1">
              <w:r w:rsidR="00E41614" w:rsidRPr="00E41614">
                <w:rPr>
                  <w:rStyle w:val="Hiperveza"/>
                  <w:rFonts w:ascii="Calibri" w:hAnsi="Calibri"/>
                  <w:sz w:val="22"/>
                  <w:szCs w:val="22"/>
                </w:rPr>
                <w:t>Croatia Airlines - Godišnje izvješće o radu</w:t>
              </w:r>
            </w:hyperlink>
          </w:p>
        </w:tc>
      </w:tr>
      <w:tr w:rsidR="000830AF" w:rsidRPr="00E41614" w14:paraId="1E4277CD" w14:textId="77777777" w:rsidTr="000830AF">
        <w:trPr>
          <w:trHeight w:val="1320"/>
        </w:trPr>
        <w:tc>
          <w:tcPr>
            <w:tcW w:w="610" w:type="dxa"/>
            <w:hideMark/>
          </w:tcPr>
          <w:p w14:paraId="192179E8" w14:textId="576DD06E" w:rsidR="00E41614" w:rsidRPr="00E41614" w:rsidRDefault="00E41614" w:rsidP="00E41614">
            <w:pPr>
              <w:rPr>
                <w:rFonts w:ascii="Calibri" w:hAnsi="Calibri"/>
                <w:sz w:val="22"/>
                <w:szCs w:val="22"/>
              </w:rPr>
            </w:pPr>
            <w:r w:rsidRPr="00E41614">
              <w:rPr>
                <w:rFonts w:ascii="Calibri" w:hAnsi="Calibri"/>
                <w:sz w:val="22"/>
                <w:szCs w:val="22"/>
              </w:rPr>
              <w:lastRenderedPageBreak/>
              <w:t>9</w:t>
            </w:r>
            <w:r w:rsidR="002A59D8">
              <w:rPr>
                <w:rFonts w:ascii="Calibri" w:hAnsi="Calibri"/>
                <w:sz w:val="22"/>
                <w:szCs w:val="22"/>
              </w:rPr>
              <w:t>.</w:t>
            </w:r>
          </w:p>
        </w:tc>
        <w:tc>
          <w:tcPr>
            <w:tcW w:w="3670" w:type="dxa"/>
            <w:hideMark/>
          </w:tcPr>
          <w:p w14:paraId="344E6C75" w14:textId="77777777" w:rsidR="00E41614" w:rsidRPr="00E41614" w:rsidRDefault="00E41614">
            <w:pPr>
              <w:rPr>
                <w:rFonts w:ascii="Calibri" w:hAnsi="Calibri"/>
                <w:sz w:val="22"/>
                <w:szCs w:val="22"/>
              </w:rPr>
            </w:pPr>
            <w:r w:rsidRPr="00E41614">
              <w:rPr>
                <w:rFonts w:ascii="Calibri" w:hAnsi="Calibri"/>
                <w:sz w:val="22"/>
                <w:szCs w:val="22"/>
              </w:rPr>
              <w:t>Zračna luka Split</w:t>
            </w:r>
          </w:p>
        </w:tc>
        <w:tc>
          <w:tcPr>
            <w:tcW w:w="3418" w:type="dxa"/>
            <w:hideMark/>
          </w:tcPr>
          <w:p w14:paraId="3FA3A0AB" w14:textId="77777777" w:rsidR="00E41614" w:rsidRPr="00E41614" w:rsidRDefault="00E41614">
            <w:pPr>
              <w:rPr>
                <w:rFonts w:ascii="Calibri" w:hAnsi="Calibri"/>
                <w:sz w:val="22"/>
                <w:szCs w:val="22"/>
              </w:rPr>
            </w:pPr>
            <w:r w:rsidRPr="00E41614">
              <w:rPr>
                <w:rFonts w:ascii="Calibri" w:hAnsi="Calibri"/>
                <w:sz w:val="22"/>
                <w:szCs w:val="22"/>
              </w:rPr>
              <w:t xml:space="preserve">Cesta dr. Franje Tuđmana 1270, Kaštel </w:t>
            </w:r>
            <w:proofErr w:type="spellStart"/>
            <w:r w:rsidRPr="00E41614">
              <w:rPr>
                <w:rFonts w:ascii="Calibri" w:hAnsi="Calibri"/>
                <w:sz w:val="22"/>
                <w:szCs w:val="22"/>
              </w:rPr>
              <w:t>Štafilić</w:t>
            </w:r>
            <w:proofErr w:type="spellEnd"/>
          </w:p>
        </w:tc>
        <w:tc>
          <w:tcPr>
            <w:tcW w:w="1653" w:type="dxa"/>
            <w:hideMark/>
          </w:tcPr>
          <w:p w14:paraId="035783A3" w14:textId="77777777" w:rsidR="00E41614" w:rsidRPr="00E41614" w:rsidRDefault="00E41614" w:rsidP="00E41614">
            <w:pPr>
              <w:rPr>
                <w:rFonts w:ascii="Calibri" w:hAnsi="Calibri"/>
                <w:sz w:val="22"/>
                <w:szCs w:val="22"/>
              </w:rPr>
            </w:pPr>
            <w:r w:rsidRPr="00E41614">
              <w:rPr>
                <w:rFonts w:ascii="Calibri" w:hAnsi="Calibri"/>
                <w:sz w:val="22"/>
                <w:szCs w:val="22"/>
              </w:rPr>
              <w:t>83462362655</w:t>
            </w:r>
          </w:p>
        </w:tc>
        <w:tc>
          <w:tcPr>
            <w:tcW w:w="1014" w:type="dxa"/>
            <w:hideMark/>
          </w:tcPr>
          <w:p w14:paraId="4F61AA94" w14:textId="77777777" w:rsidR="00E41614" w:rsidRPr="00E41614" w:rsidRDefault="00E41614" w:rsidP="00E41614">
            <w:pPr>
              <w:rPr>
                <w:rFonts w:ascii="Calibri" w:hAnsi="Calibri"/>
                <w:sz w:val="22"/>
                <w:szCs w:val="22"/>
              </w:rPr>
            </w:pPr>
            <w:r w:rsidRPr="00E41614">
              <w:rPr>
                <w:rFonts w:ascii="Calibri" w:hAnsi="Calibri"/>
                <w:sz w:val="22"/>
                <w:szCs w:val="22"/>
              </w:rPr>
              <w:t>d.o.o.</w:t>
            </w:r>
          </w:p>
        </w:tc>
        <w:tc>
          <w:tcPr>
            <w:tcW w:w="2322" w:type="dxa"/>
            <w:hideMark/>
          </w:tcPr>
          <w:p w14:paraId="70D9C99A" w14:textId="77777777" w:rsidR="00E41614" w:rsidRPr="00E41614" w:rsidRDefault="00E41614">
            <w:pPr>
              <w:rPr>
                <w:rFonts w:ascii="Calibri" w:hAnsi="Calibri"/>
                <w:sz w:val="22"/>
                <w:szCs w:val="22"/>
              </w:rPr>
            </w:pPr>
            <w:r w:rsidRPr="00E41614">
              <w:rPr>
                <w:rFonts w:ascii="Calibri" w:hAnsi="Calibri"/>
                <w:sz w:val="22"/>
                <w:szCs w:val="22"/>
              </w:rPr>
              <w:t>Republika Hrvatska, Splitsko-dalmatinska županija, grad Kaštela, grad Trogir, grad Split</w:t>
            </w:r>
          </w:p>
        </w:tc>
        <w:tc>
          <w:tcPr>
            <w:tcW w:w="1603" w:type="dxa"/>
            <w:hideMark/>
          </w:tcPr>
          <w:p w14:paraId="6E1810FA"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1459" w:type="dxa"/>
            <w:hideMark/>
          </w:tcPr>
          <w:p w14:paraId="2C5046B9"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2866" w:type="dxa"/>
            <w:hideMark/>
          </w:tcPr>
          <w:p w14:paraId="1EB60372" w14:textId="77777777" w:rsidR="00E41614" w:rsidRPr="00E41614" w:rsidRDefault="00E41614" w:rsidP="00F667BE">
            <w:pPr>
              <w:rPr>
                <w:rFonts w:ascii="Calibri" w:hAnsi="Calibri"/>
                <w:sz w:val="22"/>
                <w:szCs w:val="22"/>
              </w:rPr>
            </w:pPr>
            <w:r w:rsidRPr="00E41614">
              <w:rPr>
                <w:rFonts w:ascii="Calibri" w:hAnsi="Calibri"/>
                <w:sz w:val="22"/>
                <w:szCs w:val="22"/>
              </w:rPr>
              <w:t>Uprava zračnog prometa, elektroničkih komunikacija i pošte</w:t>
            </w:r>
          </w:p>
        </w:tc>
        <w:tc>
          <w:tcPr>
            <w:tcW w:w="3059" w:type="dxa"/>
            <w:hideMark/>
          </w:tcPr>
          <w:p w14:paraId="47AEF6E5" w14:textId="77777777" w:rsidR="00E41614" w:rsidRPr="00E41614" w:rsidRDefault="0074387A" w:rsidP="008F21F0">
            <w:pPr>
              <w:rPr>
                <w:rFonts w:ascii="Calibri" w:hAnsi="Calibri"/>
                <w:sz w:val="22"/>
                <w:szCs w:val="22"/>
                <w:u w:val="single"/>
              </w:rPr>
            </w:pPr>
            <w:hyperlink r:id="rId44" w:history="1">
              <w:r w:rsidR="00E41614" w:rsidRPr="00E41614">
                <w:rPr>
                  <w:rStyle w:val="Hiperveza"/>
                  <w:rFonts w:ascii="Calibri" w:hAnsi="Calibri"/>
                  <w:sz w:val="22"/>
                  <w:szCs w:val="22"/>
                </w:rPr>
                <w:t>ZL Split - Godišnje izvješće o radu</w:t>
              </w:r>
            </w:hyperlink>
          </w:p>
        </w:tc>
      </w:tr>
      <w:tr w:rsidR="000830AF" w:rsidRPr="00E41614" w14:paraId="47901055" w14:textId="77777777" w:rsidTr="000830AF">
        <w:trPr>
          <w:trHeight w:val="1350"/>
        </w:trPr>
        <w:tc>
          <w:tcPr>
            <w:tcW w:w="610" w:type="dxa"/>
            <w:hideMark/>
          </w:tcPr>
          <w:p w14:paraId="76FAA752" w14:textId="314F4EC6" w:rsidR="00E41614" w:rsidRPr="00E41614" w:rsidRDefault="00E41614" w:rsidP="00E41614">
            <w:pPr>
              <w:rPr>
                <w:rFonts w:ascii="Calibri" w:hAnsi="Calibri"/>
                <w:sz w:val="22"/>
                <w:szCs w:val="22"/>
              </w:rPr>
            </w:pPr>
            <w:r w:rsidRPr="00E41614">
              <w:rPr>
                <w:rFonts w:ascii="Calibri" w:hAnsi="Calibri"/>
                <w:sz w:val="22"/>
                <w:szCs w:val="22"/>
              </w:rPr>
              <w:t>10</w:t>
            </w:r>
            <w:r w:rsidR="002A59D8">
              <w:rPr>
                <w:rFonts w:ascii="Calibri" w:hAnsi="Calibri"/>
                <w:sz w:val="22"/>
                <w:szCs w:val="22"/>
              </w:rPr>
              <w:t>.</w:t>
            </w:r>
          </w:p>
        </w:tc>
        <w:tc>
          <w:tcPr>
            <w:tcW w:w="3670" w:type="dxa"/>
            <w:hideMark/>
          </w:tcPr>
          <w:p w14:paraId="08F1E94E" w14:textId="77777777" w:rsidR="00E41614" w:rsidRPr="00E41614" w:rsidRDefault="00E41614">
            <w:pPr>
              <w:rPr>
                <w:rFonts w:ascii="Calibri" w:hAnsi="Calibri"/>
                <w:sz w:val="22"/>
                <w:szCs w:val="22"/>
              </w:rPr>
            </w:pPr>
            <w:r w:rsidRPr="00E41614">
              <w:rPr>
                <w:rFonts w:ascii="Calibri" w:hAnsi="Calibri"/>
                <w:sz w:val="22"/>
                <w:szCs w:val="22"/>
              </w:rPr>
              <w:t>Zračna luka Dubrovnik</w:t>
            </w:r>
          </w:p>
        </w:tc>
        <w:tc>
          <w:tcPr>
            <w:tcW w:w="3418" w:type="dxa"/>
            <w:hideMark/>
          </w:tcPr>
          <w:p w14:paraId="43901A32" w14:textId="77777777" w:rsidR="00E41614" w:rsidRPr="00E41614" w:rsidRDefault="00E41614">
            <w:pPr>
              <w:rPr>
                <w:rFonts w:ascii="Calibri" w:hAnsi="Calibri"/>
                <w:sz w:val="22"/>
                <w:szCs w:val="22"/>
              </w:rPr>
            </w:pPr>
            <w:r w:rsidRPr="00E41614">
              <w:rPr>
                <w:rFonts w:ascii="Calibri" w:hAnsi="Calibri"/>
                <w:sz w:val="22"/>
                <w:szCs w:val="22"/>
              </w:rPr>
              <w:t xml:space="preserve">Dobrota 24, </w:t>
            </w:r>
            <w:proofErr w:type="spellStart"/>
            <w:r w:rsidRPr="00E41614">
              <w:rPr>
                <w:rFonts w:ascii="Calibri" w:hAnsi="Calibri"/>
                <w:sz w:val="22"/>
                <w:szCs w:val="22"/>
              </w:rPr>
              <w:t>Čilipi</w:t>
            </w:r>
            <w:proofErr w:type="spellEnd"/>
          </w:p>
        </w:tc>
        <w:tc>
          <w:tcPr>
            <w:tcW w:w="1653" w:type="dxa"/>
            <w:hideMark/>
          </w:tcPr>
          <w:p w14:paraId="0A49C73C" w14:textId="77777777" w:rsidR="00E41614" w:rsidRPr="00E41614" w:rsidRDefault="00E41614" w:rsidP="00E41614">
            <w:pPr>
              <w:rPr>
                <w:rFonts w:ascii="Calibri" w:hAnsi="Calibri"/>
                <w:sz w:val="22"/>
                <w:szCs w:val="22"/>
              </w:rPr>
            </w:pPr>
            <w:r w:rsidRPr="00E41614">
              <w:rPr>
                <w:rFonts w:ascii="Calibri" w:hAnsi="Calibri"/>
                <w:sz w:val="22"/>
                <w:szCs w:val="22"/>
              </w:rPr>
              <w:t>63145279942</w:t>
            </w:r>
          </w:p>
        </w:tc>
        <w:tc>
          <w:tcPr>
            <w:tcW w:w="1014" w:type="dxa"/>
            <w:hideMark/>
          </w:tcPr>
          <w:p w14:paraId="4B6CFED2" w14:textId="77777777" w:rsidR="00E41614" w:rsidRPr="00E41614" w:rsidRDefault="00E41614" w:rsidP="00E41614">
            <w:pPr>
              <w:rPr>
                <w:rFonts w:ascii="Calibri" w:hAnsi="Calibri"/>
                <w:sz w:val="22"/>
                <w:szCs w:val="22"/>
              </w:rPr>
            </w:pPr>
            <w:r w:rsidRPr="00E41614">
              <w:rPr>
                <w:rFonts w:ascii="Calibri" w:hAnsi="Calibri"/>
                <w:sz w:val="22"/>
                <w:szCs w:val="22"/>
              </w:rPr>
              <w:t>d.o.o.</w:t>
            </w:r>
          </w:p>
        </w:tc>
        <w:tc>
          <w:tcPr>
            <w:tcW w:w="2322" w:type="dxa"/>
            <w:hideMark/>
          </w:tcPr>
          <w:p w14:paraId="2F7896B5" w14:textId="77777777" w:rsidR="00E41614" w:rsidRPr="00E41614" w:rsidRDefault="00E41614">
            <w:pPr>
              <w:rPr>
                <w:rFonts w:ascii="Calibri" w:hAnsi="Calibri"/>
                <w:sz w:val="22"/>
                <w:szCs w:val="22"/>
              </w:rPr>
            </w:pPr>
            <w:r w:rsidRPr="00E41614">
              <w:rPr>
                <w:rFonts w:ascii="Calibri" w:hAnsi="Calibri"/>
                <w:sz w:val="22"/>
                <w:szCs w:val="22"/>
              </w:rPr>
              <w:t>Republika Hrvatska, Dubrovačko-neretvanska županija, općina Konavle, grad Dubrovnik</w:t>
            </w:r>
          </w:p>
        </w:tc>
        <w:tc>
          <w:tcPr>
            <w:tcW w:w="1603" w:type="dxa"/>
            <w:hideMark/>
          </w:tcPr>
          <w:p w14:paraId="403A5E1E"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1459" w:type="dxa"/>
            <w:hideMark/>
          </w:tcPr>
          <w:p w14:paraId="1A397FDD"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2866" w:type="dxa"/>
            <w:hideMark/>
          </w:tcPr>
          <w:p w14:paraId="2AEB0865" w14:textId="77777777" w:rsidR="00E41614" w:rsidRPr="00E41614" w:rsidRDefault="00E41614" w:rsidP="00F667BE">
            <w:pPr>
              <w:rPr>
                <w:rFonts w:ascii="Calibri" w:hAnsi="Calibri"/>
                <w:sz w:val="22"/>
                <w:szCs w:val="22"/>
              </w:rPr>
            </w:pPr>
            <w:r w:rsidRPr="00E41614">
              <w:rPr>
                <w:rFonts w:ascii="Calibri" w:hAnsi="Calibri"/>
                <w:sz w:val="22"/>
                <w:szCs w:val="22"/>
              </w:rPr>
              <w:t>Uprava zračnog prometa, elektroničkih komunikacija i pošte</w:t>
            </w:r>
          </w:p>
        </w:tc>
        <w:tc>
          <w:tcPr>
            <w:tcW w:w="3059" w:type="dxa"/>
            <w:hideMark/>
          </w:tcPr>
          <w:p w14:paraId="15ADCCA2" w14:textId="77777777" w:rsidR="00E41614" w:rsidRPr="00E41614" w:rsidRDefault="0074387A" w:rsidP="008F21F0">
            <w:pPr>
              <w:rPr>
                <w:rFonts w:ascii="Calibri" w:hAnsi="Calibri"/>
                <w:sz w:val="22"/>
                <w:szCs w:val="22"/>
                <w:u w:val="single"/>
              </w:rPr>
            </w:pPr>
            <w:hyperlink r:id="rId45" w:history="1">
              <w:r w:rsidR="00E41614" w:rsidRPr="00E41614">
                <w:rPr>
                  <w:rStyle w:val="Hiperveza"/>
                  <w:rFonts w:ascii="Calibri" w:hAnsi="Calibri"/>
                  <w:sz w:val="22"/>
                  <w:szCs w:val="22"/>
                </w:rPr>
                <w:t>ZL Dubrovnik - Godišnja financijska izvješća</w:t>
              </w:r>
            </w:hyperlink>
          </w:p>
        </w:tc>
      </w:tr>
      <w:tr w:rsidR="000830AF" w:rsidRPr="00E41614" w14:paraId="191885E9" w14:textId="77777777" w:rsidTr="000830AF">
        <w:trPr>
          <w:trHeight w:val="1650"/>
        </w:trPr>
        <w:tc>
          <w:tcPr>
            <w:tcW w:w="610" w:type="dxa"/>
            <w:hideMark/>
          </w:tcPr>
          <w:p w14:paraId="7CCF7088" w14:textId="43C5F666" w:rsidR="00E41614" w:rsidRPr="00E41614" w:rsidRDefault="00E41614" w:rsidP="00E41614">
            <w:pPr>
              <w:rPr>
                <w:rFonts w:ascii="Calibri" w:hAnsi="Calibri"/>
                <w:sz w:val="22"/>
                <w:szCs w:val="22"/>
              </w:rPr>
            </w:pPr>
            <w:r w:rsidRPr="00E41614">
              <w:rPr>
                <w:rFonts w:ascii="Calibri" w:hAnsi="Calibri"/>
                <w:sz w:val="22"/>
                <w:szCs w:val="22"/>
              </w:rPr>
              <w:t>11</w:t>
            </w:r>
            <w:r w:rsidR="002A59D8">
              <w:rPr>
                <w:rFonts w:ascii="Calibri" w:hAnsi="Calibri"/>
                <w:sz w:val="22"/>
                <w:szCs w:val="22"/>
              </w:rPr>
              <w:t>.</w:t>
            </w:r>
          </w:p>
        </w:tc>
        <w:tc>
          <w:tcPr>
            <w:tcW w:w="3670" w:type="dxa"/>
            <w:hideMark/>
          </w:tcPr>
          <w:p w14:paraId="3D1D0193" w14:textId="77777777" w:rsidR="00E41614" w:rsidRPr="00E41614" w:rsidRDefault="00E41614">
            <w:pPr>
              <w:rPr>
                <w:rFonts w:ascii="Calibri" w:hAnsi="Calibri"/>
                <w:sz w:val="22"/>
                <w:szCs w:val="22"/>
              </w:rPr>
            </w:pPr>
            <w:r w:rsidRPr="00E41614">
              <w:rPr>
                <w:rFonts w:ascii="Calibri" w:hAnsi="Calibri"/>
                <w:sz w:val="22"/>
                <w:szCs w:val="22"/>
              </w:rPr>
              <w:t>Zračna luka Pula</w:t>
            </w:r>
          </w:p>
        </w:tc>
        <w:tc>
          <w:tcPr>
            <w:tcW w:w="3418" w:type="dxa"/>
            <w:hideMark/>
          </w:tcPr>
          <w:p w14:paraId="1CD23B19" w14:textId="77777777" w:rsidR="00E41614" w:rsidRPr="00E41614" w:rsidRDefault="00E41614">
            <w:pPr>
              <w:rPr>
                <w:rFonts w:ascii="Calibri" w:hAnsi="Calibri"/>
                <w:sz w:val="22"/>
                <w:szCs w:val="22"/>
              </w:rPr>
            </w:pPr>
            <w:proofErr w:type="spellStart"/>
            <w:r w:rsidRPr="00E41614">
              <w:rPr>
                <w:rFonts w:ascii="Calibri" w:hAnsi="Calibri"/>
                <w:sz w:val="22"/>
                <w:szCs w:val="22"/>
              </w:rPr>
              <w:t>Valtursko</w:t>
            </w:r>
            <w:proofErr w:type="spellEnd"/>
            <w:r w:rsidRPr="00E41614">
              <w:rPr>
                <w:rFonts w:ascii="Calibri" w:hAnsi="Calibri"/>
                <w:sz w:val="22"/>
                <w:szCs w:val="22"/>
              </w:rPr>
              <w:t xml:space="preserve"> polje 210, </w:t>
            </w:r>
            <w:proofErr w:type="spellStart"/>
            <w:r w:rsidRPr="00E41614">
              <w:rPr>
                <w:rFonts w:ascii="Calibri" w:hAnsi="Calibri"/>
                <w:sz w:val="22"/>
                <w:szCs w:val="22"/>
              </w:rPr>
              <w:t>Ližnjan</w:t>
            </w:r>
            <w:proofErr w:type="spellEnd"/>
          </w:p>
        </w:tc>
        <w:tc>
          <w:tcPr>
            <w:tcW w:w="1653" w:type="dxa"/>
            <w:hideMark/>
          </w:tcPr>
          <w:p w14:paraId="4831E7A0" w14:textId="77777777" w:rsidR="00E41614" w:rsidRPr="00E41614" w:rsidRDefault="00E41614" w:rsidP="00E41614">
            <w:pPr>
              <w:rPr>
                <w:rFonts w:ascii="Calibri" w:hAnsi="Calibri"/>
                <w:sz w:val="22"/>
                <w:szCs w:val="22"/>
              </w:rPr>
            </w:pPr>
            <w:r w:rsidRPr="00E41614">
              <w:rPr>
                <w:rFonts w:ascii="Calibri" w:hAnsi="Calibri"/>
                <w:sz w:val="22"/>
                <w:szCs w:val="22"/>
              </w:rPr>
              <w:t>51946493681</w:t>
            </w:r>
          </w:p>
        </w:tc>
        <w:tc>
          <w:tcPr>
            <w:tcW w:w="1014" w:type="dxa"/>
            <w:hideMark/>
          </w:tcPr>
          <w:p w14:paraId="3D8FD225" w14:textId="77777777" w:rsidR="00E41614" w:rsidRPr="00E41614" w:rsidRDefault="00E41614" w:rsidP="00E41614">
            <w:pPr>
              <w:rPr>
                <w:rFonts w:ascii="Calibri" w:hAnsi="Calibri"/>
                <w:sz w:val="22"/>
                <w:szCs w:val="22"/>
              </w:rPr>
            </w:pPr>
            <w:r w:rsidRPr="00E41614">
              <w:rPr>
                <w:rFonts w:ascii="Calibri" w:hAnsi="Calibri"/>
                <w:sz w:val="22"/>
                <w:szCs w:val="22"/>
              </w:rPr>
              <w:t>d.o.o.</w:t>
            </w:r>
          </w:p>
        </w:tc>
        <w:tc>
          <w:tcPr>
            <w:tcW w:w="2322" w:type="dxa"/>
            <w:hideMark/>
          </w:tcPr>
          <w:p w14:paraId="517DBA4B" w14:textId="77777777" w:rsidR="00E41614" w:rsidRPr="00E41614" w:rsidRDefault="00E41614">
            <w:pPr>
              <w:rPr>
                <w:rFonts w:ascii="Calibri" w:hAnsi="Calibri"/>
                <w:sz w:val="22"/>
                <w:szCs w:val="22"/>
              </w:rPr>
            </w:pPr>
            <w:r w:rsidRPr="00E41614">
              <w:rPr>
                <w:rFonts w:ascii="Calibri" w:hAnsi="Calibri"/>
                <w:sz w:val="22"/>
                <w:szCs w:val="22"/>
              </w:rPr>
              <w:t>Republika Hrvatska, Istarska županija, grad Poreč, grad Pula, grad Labin, grad Rovinj, grad Pazin, grad Buje</w:t>
            </w:r>
          </w:p>
        </w:tc>
        <w:tc>
          <w:tcPr>
            <w:tcW w:w="1603" w:type="dxa"/>
            <w:hideMark/>
          </w:tcPr>
          <w:p w14:paraId="5F60BBD1"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1459" w:type="dxa"/>
            <w:hideMark/>
          </w:tcPr>
          <w:p w14:paraId="1D122256"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2866" w:type="dxa"/>
            <w:hideMark/>
          </w:tcPr>
          <w:p w14:paraId="5BBBF5D0" w14:textId="77777777" w:rsidR="00E41614" w:rsidRPr="00E41614" w:rsidRDefault="00E41614" w:rsidP="00F667BE">
            <w:pPr>
              <w:rPr>
                <w:rFonts w:ascii="Calibri" w:hAnsi="Calibri"/>
                <w:sz w:val="22"/>
                <w:szCs w:val="22"/>
              </w:rPr>
            </w:pPr>
            <w:r w:rsidRPr="00E41614">
              <w:rPr>
                <w:rFonts w:ascii="Calibri" w:hAnsi="Calibri"/>
                <w:sz w:val="22"/>
                <w:szCs w:val="22"/>
              </w:rPr>
              <w:t>Uprava zračnog prometa, elektroničkih komunikacija i pošte</w:t>
            </w:r>
          </w:p>
        </w:tc>
        <w:tc>
          <w:tcPr>
            <w:tcW w:w="3059" w:type="dxa"/>
            <w:hideMark/>
          </w:tcPr>
          <w:p w14:paraId="54D20BB8" w14:textId="77777777" w:rsidR="00E41614" w:rsidRPr="00E41614" w:rsidRDefault="0074387A" w:rsidP="008F21F0">
            <w:pPr>
              <w:rPr>
                <w:rFonts w:ascii="Calibri" w:hAnsi="Calibri"/>
                <w:sz w:val="22"/>
                <w:szCs w:val="22"/>
                <w:u w:val="single"/>
              </w:rPr>
            </w:pPr>
            <w:hyperlink r:id="rId46" w:history="1">
              <w:r w:rsidR="00E41614" w:rsidRPr="00E41614">
                <w:rPr>
                  <w:rStyle w:val="Hiperveza"/>
                  <w:rFonts w:ascii="Calibri" w:hAnsi="Calibri"/>
                  <w:sz w:val="22"/>
                  <w:szCs w:val="22"/>
                </w:rPr>
                <w:t>ZL Pula - Godišnja financijska izvješća</w:t>
              </w:r>
            </w:hyperlink>
          </w:p>
        </w:tc>
      </w:tr>
      <w:tr w:rsidR="000830AF" w:rsidRPr="00E41614" w14:paraId="68268793" w14:textId="77777777" w:rsidTr="000830AF">
        <w:trPr>
          <w:trHeight w:val="1740"/>
        </w:trPr>
        <w:tc>
          <w:tcPr>
            <w:tcW w:w="610" w:type="dxa"/>
            <w:hideMark/>
          </w:tcPr>
          <w:p w14:paraId="5CD5FCFB" w14:textId="1E87040D" w:rsidR="00E41614" w:rsidRPr="00E41614" w:rsidRDefault="00E41614" w:rsidP="00E41614">
            <w:pPr>
              <w:rPr>
                <w:rFonts w:ascii="Calibri" w:hAnsi="Calibri"/>
                <w:sz w:val="22"/>
                <w:szCs w:val="22"/>
              </w:rPr>
            </w:pPr>
            <w:r w:rsidRPr="00E41614">
              <w:rPr>
                <w:rFonts w:ascii="Calibri" w:hAnsi="Calibri"/>
                <w:sz w:val="22"/>
                <w:szCs w:val="22"/>
              </w:rPr>
              <w:t>12</w:t>
            </w:r>
            <w:r w:rsidR="002A59D8">
              <w:rPr>
                <w:rFonts w:ascii="Calibri" w:hAnsi="Calibri"/>
                <w:sz w:val="22"/>
                <w:szCs w:val="22"/>
              </w:rPr>
              <w:t>.</w:t>
            </w:r>
          </w:p>
        </w:tc>
        <w:tc>
          <w:tcPr>
            <w:tcW w:w="3670" w:type="dxa"/>
            <w:hideMark/>
          </w:tcPr>
          <w:p w14:paraId="18571203" w14:textId="77777777" w:rsidR="00E41614" w:rsidRPr="00E41614" w:rsidRDefault="00E41614">
            <w:pPr>
              <w:rPr>
                <w:rFonts w:ascii="Calibri" w:hAnsi="Calibri"/>
                <w:sz w:val="22"/>
                <w:szCs w:val="22"/>
              </w:rPr>
            </w:pPr>
            <w:r w:rsidRPr="00E41614">
              <w:rPr>
                <w:rFonts w:ascii="Calibri" w:hAnsi="Calibri"/>
                <w:sz w:val="22"/>
                <w:szCs w:val="22"/>
              </w:rPr>
              <w:t>Zračna luka Rijeka</w:t>
            </w:r>
          </w:p>
        </w:tc>
        <w:tc>
          <w:tcPr>
            <w:tcW w:w="3418" w:type="dxa"/>
            <w:hideMark/>
          </w:tcPr>
          <w:p w14:paraId="5F5AB4FC" w14:textId="77777777" w:rsidR="00E41614" w:rsidRPr="00E41614" w:rsidRDefault="00E41614">
            <w:pPr>
              <w:rPr>
                <w:rFonts w:ascii="Calibri" w:hAnsi="Calibri"/>
                <w:sz w:val="22"/>
                <w:szCs w:val="22"/>
              </w:rPr>
            </w:pPr>
            <w:proofErr w:type="spellStart"/>
            <w:r w:rsidRPr="00E41614">
              <w:rPr>
                <w:rFonts w:ascii="Calibri" w:hAnsi="Calibri"/>
                <w:sz w:val="22"/>
                <w:szCs w:val="22"/>
              </w:rPr>
              <w:t>Hamec</w:t>
            </w:r>
            <w:proofErr w:type="spellEnd"/>
            <w:r w:rsidRPr="00E41614">
              <w:rPr>
                <w:rFonts w:ascii="Calibri" w:hAnsi="Calibri"/>
                <w:sz w:val="22"/>
                <w:szCs w:val="22"/>
              </w:rPr>
              <w:t xml:space="preserve"> 1, Omišalj</w:t>
            </w:r>
          </w:p>
        </w:tc>
        <w:tc>
          <w:tcPr>
            <w:tcW w:w="1653" w:type="dxa"/>
            <w:hideMark/>
          </w:tcPr>
          <w:p w14:paraId="35DE14B8" w14:textId="77777777" w:rsidR="00E41614" w:rsidRPr="00E41614" w:rsidRDefault="00E41614" w:rsidP="00E41614">
            <w:pPr>
              <w:rPr>
                <w:rFonts w:ascii="Calibri" w:hAnsi="Calibri"/>
                <w:sz w:val="22"/>
                <w:szCs w:val="22"/>
              </w:rPr>
            </w:pPr>
            <w:r w:rsidRPr="00E41614">
              <w:rPr>
                <w:rFonts w:ascii="Calibri" w:hAnsi="Calibri"/>
                <w:sz w:val="22"/>
                <w:szCs w:val="22"/>
              </w:rPr>
              <w:t>37940245720</w:t>
            </w:r>
          </w:p>
        </w:tc>
        <w:tc>
          <w:tcPr>
            <w:tcW w:w="1014" w:type="dxa"/>
            <w:hideMark/>
          </w:tcPr>
          <w:p w14:paraId="23CDA346" w14:textId="77777777" w:rsidR="00E41614" w:rsidRPr="00E41614" w:rsidRDefault="00E41614" w:rsidP="00E41614">
            <w:pPr>
              <w:rPr>
                <w:rFonts w:ascii="Calibri" w:hAnsi="Calibri"/>
                <w:sz w:val="22"/>
                <w:szCs w:val="22"/>
              </w:rPr>
            </w:pPr>
            <w:r w:rsidRPr="00E41614">
              <w:rPr>
                <w:rFonts w:ascii="Calibri" w:hAnsi="Calibri"/>
                <w:sz w:val="22"/>
                <w:szCs w:val="22"/>
              </w:rPr>
              <w:t>d.o.o.</w:t>
            </w:r>
          </w:p>
        </w:tc>
        <w:tc>
          <w:tcPr>
            <w:tcW w:w="2322" w:type="dxa"/>
            <w:hideMark/>
          </w:tcPr>
          <w:p w14:paraId="22FD7266" w14:textId="77777777" w:rsidR="00E41614" w:rsidRPr="00E41614" w:rsidRDefault="00E41614">
            <w:pPr>
              <w:rPr>
                <w:rFonts w:ascii="Calibri" w:hAnsi="Calibri"/>
                <w:sz w:val="22"/>
                <w:szCs w:val="22"/>
              </w:rPr>
            </w:pPr>
            <w:r w:rsidRPr="00E41614">
              <w:rPr>
                <w:rFonts w:ascii="Calibri" w:hAnsi="Calibri"/>
                <w:sz w:val="22"/>
                <w:szCs w:val="22"/>
              </w:rPr>
              <w:t>Republika Hrvatska, Primorsko-goranska županija, grad Rijeka, grad Krk, grad Crikvenica, grad Opatija, općina Omišalj</w:t>
            </w:r>
          </w:p>
        </w:tc>
        <w:tc>
          <w:tcPr>
            <w:tcW w:w="1603" w:type="dxa"/>
            <w:hideMark/>
          </w:tcPr>
          <w:p w14:paraId="701A6ED8"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1459" w:type="dxa"/>
            <w:hideMark/>
          </w:tcPr>
          <w:p w14:paraId="411B52B9"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2866" w:type="dxa"/>
            <w:hideMark/>
          </w:tcPr>
          <w:p w14:paraId="50415F98" w14:textId="77777777" w:rsidR="00E41614" w:rsidRPr="00E41614" w:rsidRDefault="00E41614" w:rsidP="00F667BE">
            <w:pPr>
              <w:rPr>
                <w:rFonts w:ascii="Calibri" w:hAnsi="Calibri"/>
                <w:sz w:val="22"/>
                <w:szCs w:val="22"/>
              </w:rPr>
            </w:pPr>
            <w:r w:rsidRPr="00E41614">
              <w:rPr>
                <w:rFonts w:ascii="Calibri" w:hAnsi="Calibri"/>
                <w:sz w:val="22"/>
                <w:szCs w:val="22"/>
              </w:rPr>
              <w:t>Uprava zračnog prometa, elektroničkih komunikacija i pošte</w:t>
            </w:r>
          </w:p>
        </w:tc>
        <w:tc>
          <w:tcPr>
            <w:tcW w:w="3059" w:type="dxa"/>
            <w:hideMark/>
          </w:tcPr>
          <w:p w14:paraId="76FD22A2" w14:textId="77777777" w:rsidR="00E41614" w:rsidRPr="00E41614" w:rsidRDefault="0074387A" w:rsidP="008F21F0">
            <w:pPr>
              <w:rPr>
                <w:rFonts w:ascii="Calibri" w:hAnsi="Calibri"/>
                <w:sz w:val="22"/>
                <w:szCs w:val="22"/>
                <w:u w:val="single"/>
              </w:rPr>
            </w:pPr>
            <w:hyperlink r:id="rId47" w:history="1">
              <w:r w:rsidR="00E41614" w:rsidRPr="00E41614">
                <w:rPr>
                  <w:rStyle w:val="Hiperveza"/>
                  <w:rFonts w:ascii="Calibri" w:hAnsi="Calibri"/>
                  <w:sz w:val="22"/>
                  <w:szCs w:val="22"/>
                </w:rPr>
                <w:t>ZL Rijeka - Godišnje izvješće o radu</w:t>
              </w:r>
            </w:hyperlink>
          </w:p>
        </w:tc>
      </w:tr>
      <w:tr w:rsidR="000830AF" w:rsidRPr="00E41614" w14:paraId="2E4FCB8C" w14:textId="77777777" w:rsidTr="000830AF">
        <w:trPr>
          <w:trHeight w:val="1320"/>
        </w:trPr>
        <w:tc>
          <w:tcPr>
            <w:tcW w:w="610" w:type="dxa"/>
            <w:hideMark/>
          </w:tcPr>
          <w:p w14:paraId="292C13CE" w14:textId="274FEF5F" w:rsidR="00E41614" w:rsidRPr="00E41614" w:rsidRDefault="00E41614" w:rsidP="00E41614">
            <w:pPr>
              <w:rPr>
                <w:rFonts w:ascii="Calibri" w:hAnsi="Calibri"/>
                <w:sz w:val="22"/>
                <w:szCs w:val="22"/>
              </w:rPr>
            </w:pPr>
            <w:r w:rsidRPr="00E41614">
              <w:rPr>
                <w:rFonts w:ascii="Calibri" w:hAnsi="Calibri"/>
                <w:sz w:val="22"/>
                <w:szCs w:val="22"/>
              </w:rPr>
              <w:t>13</w:t>
            </w:r>
            <w:r w:rsidR="002A59D8">
              <w:rPr>
                <w:rFonts w:ascii="Calibri" w:hAnsi="Calibri"/>
                <w:sz w:val="22"/>
                <w:szCs w:val="22"/>
              </w:rPr>
              <w:t>.</w:t>
            </w:r>
          </w:p>
        </w:tc>
        <w:tc>
          <w:tcPr>
            <w:tcW w:w="3670" w:type="dxa"/>
            <w:hideMark/>
          </w:tcPr>
          <w:p w14:paraId="1B0093EA" w14:textId="77777777" w:rsidR="00E41614" w:rsidRPr="00E41614" w:rsidRDefault="00E41614">
            <w:pPr>
              <w:rPr>
                <w:rFonts w:ascii="Calibri" w:hAnsi="Calibri"/>
                <w:sz w:val="22"/>
                <w:szCs w:val="22"/>
              </w:rPr>
            </w:pPr>
            <w:r w:rsidRPr="00E41614">
              <w:rPr>
                <w:rFonts w:ascii="Calibri" w:hAnsi="Calibri"/>
                <w:sz w:val="22"/>
                <w:szCs w:val="22"/>
              </w:rPr>
              <w:t>Zračna luka Zadar</w:t>
            </w:r>
          </w:p>
        </w:tc>
        <w:tc>
          <w:tcPr>
            <w:tcW w:w="3418" w:type="dxa"/>
            <w:hideMark/>
          </w:tcPr>
          <w:p w14:paraId="003735D4" w14:textId="77777777" w:rsidR="00E41614" w:rsidRPr="00E41614" w:rsidRDefault="00E41614">
            <w:pPr>
              <w:rPr>
                <w:rFonts w:ascii="Calibri" w:hAnsi="Calibri"/>
                <w:sz w:val="22"/>
                <w:szCs w:val="22"/>
              </w:rPr>
            </w:pPr>
            <w:r w:rsidRPr="00E41614">
              <w:rPr>
                <w:rFonts w:ascii="Calibri" w:hAnsi="Calibri"/>
                <w:sz w:val="22"/>
                <w:szCs w:val="22"/>
              </w:rPr>
              <w:t>Ulica I br. 2/A, Zemunik Donji</w:t>
            </w:r>
          </w:p>
        </w:tc>
        <w:tc>
          <w:tcPr>
            <w:tcW w:w="1653" w:type="dxa"/>
            <w:hideMark/>
          </w:tcPr>
          <w:p w14:paraId="6118B3DF" w14:textId="77777777" w:rsidR="00E41614" w:rsidRPr="00E41614" w:rsidRDefault="00E41614" w:rsidP="00E41614">
            <w:pPr>
              <w:rPr>
                <w:rFonts w:ascii="Calibri" w:hAnsi="Calibri"/>
                <w:sz w:val="22"/>
                <w:szCs w:val="22"/>
              </w:rPr>
            </w:pPr>
            <w:r w:rsidRPr="00E41614">
              <w:rPr>
                <w:rFonts w:ascii="Calibri" w:hAnsi="Calibri"/>
                <w:sz w:val="22"/>
                <w:szCs w:val="22"/>
              </w:rPr>
              <w:t>39087623202</w:t>
            </w:r>
          </w:p>
        </w:tc>
        <w:tc>
          <w:tcPr>
            <w:tcW w:w="1014" w:type="dxa"/>
            <w:hideMark/>
          </w:tcPr>
          <w:p w14:paraId="0BB95226" w14:textId="77777777" w:rsidR="00E41614" w:rsidRPr="00E41614" w:rsidRDefault="00E41614" w:rsidP="00E41614">
            <w:pPr>
              <w:rPr>
                <w:rFonts w:ascii="Calibri" w:hAnsi="Calibri"/>
                <w:sz w:val="22"/>
                <w:szCs w:val="22"/>
              </w:rPr>
            </w:pPr>
            <w:r w:rsidRPr="00E41614">
              <w:rPr>
                <w:rFonts w:ascii="Calibri" w:hAnsi="Calibri"/>
                <w:sz w:val="22"/>
                <w:szCs w:val="22"/>
              </w:rPr>
              <w:t>d.o.o.</w:t>
            </w:r>
          </w:p>
        </w:tc>
        <w:tc>
          <w:tcPr>
            <w:tcW w:w="2322" w:type="dxa"/>
            <w:hideMark/>
          </w:tcPr>
          <w:p w14:paraId="5F913F63" w14:textId="77777777" w:rsidR="00E41614" w:rsidRPr="00E41614" w:rsidRDefault="00E41614">
            <w:pPr>
              <w:rPr>
                <w:rFonts w:ascii="Calibri" w:hAnsi="Calibri"/>
                <w:sz w:val="22"/>
                <w:szCs w:val="22"/>
              </w:rPr>
            </w:pPr>
            <w:r w:rsidRPr="00E41614">
              <w:rPr>
                <w:rFonts w:ascii="Calibri" w:hAnsi="Calibri"/>
                <w:sz w:val="22"/>
                <w:szCs w:val="22"/>
              </w:rPr>
              <w:t>Republika Hrvatska, Zadarska županija, grad Zadar, općina Zemunik Donji</w:t>
            </w:r>
          </w:p>
        </w:tc>
        <w:tc>
          <w:tcPr>
            <w:tcW w:w="1603" w:type="dxa"/>
            <w:hideMark/>
          </w:tcPr>
          <w:p w14:paraId="6239B305"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1459" w:type="dxa"/>
            <w:hideMark/>
          </w:tcPr>
          <w:p w14:paraId="5A95C2E5"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2866" w:type="dxa"/>
            <w:hideMark/>
          </w:tcPr>
          <w:p w14:paraId="3E62C39A" w14:textId="77777777" w:rsidR="00E41614" w:rsidRPr="00E41614" w:rsidRDefault="00E41614" w:rsidP="00F667BE">
            <w:pPr>
              <w:rPr>
                <w:rFonts w:ascii="Calibri" w:hAnsi="Calibri"/>
                <w:sz w:val="22"/>
                <w:szCs w:val="22"/>
              </w:rPr>
            </w:pPr>
            <w:r w:rsidRPr="00E41614">
              <w:rPr>
                <w:rFonts w:ascii="Calibri" w:hAnsi="Calibri"/>
                <w:sz w:val="22"/>
                <w:szCs w:val="22"/>
              </w:rPr>
              <w:t>Uprava zračnog prometa, elektroničkih komunikacija i pošte</w:t>
            </w:r>
          </w:p>
        </w:tc>
        <w:tc>
          <w:tcPr>
            <w:tcW w:w="3059" w:type="dxa"/>
            <w:hideMark/>
          </w:tcPr>
          <w:p w14:paraId="6DF6C0D0" w14:textId="77777777" w:rsidR="00E41614" w:rsidRPr="00E41614" w:rsidRDefault="0074387A" w:rsidP="008F21F0">
            <w:pPr>
              <w:rPr>
                <w:rFonts w:ascii="Calibri" w:hAnsi="Calibri"/>
                <w:sz w:val="22"/>
                <w:szCs w:val="22"/>
                <w:u w:val="single"/>
              </w:rPr>
            </w:pPr>
            <w:hyperlink r:id="rId48" w:history="1">
              <w:r w:rsidR="00E41614" w:rsidRPr="00E41614">
                <w:rPr>
                  <w:rStyle w:val="Hiperveza"/>
                  <w:rFonts w:ascii="Calibri" w:hAnsi="Calibri"/>
                  <w:sz w:val="22"/>
                  <w:szCs w:val="22"/>
                </w:rPr>
                <w:t>ZL Zadar - Godišnja financijska izvješća</w:t>
              </w:r>
            </w:hyperlink>
          </w:p>
        </w:tc>
      </w:tr>
      <w:tr w:rsidR="000830AF" w:rsidRPr="00E41614" w14:paraId="2EA9490B" w14:textId="77777777" w:rsidTr="000830AF">
        <w:trPr>
          <w:trHeight w:val="1380"/>
        </w:trPr>
        <w:tc>
          <w:tcPr>
            <w:tcW w:w="610" w:type="dxa"/>
            <w:hideMark/>
          </w:tcPr>
          <w:p w14:paraId="4640878F" w14:textId="35910E22" w:rsidR="00E41614" w:rsidRPr="00E41614" w:rsidRDefault="00E41614" w:rsidP="00E41614">
            <w:pPr>
              <w:rPr>
                <w:rFonts w:ascii="Calibri" w:hAnsi="Calibri"/>
                <w:sz w:val="22"/>
                <w:szCs w:val="22"/>
              </w:rPr>
            </w:pPr>
            <w:r w:rsidRPr="00E41614">
              <w:rPr>
                <w:rFonts w:ascii="Calibri" w:hAnsi="Calibri"/>
                <w:sz w:val="22"/>
                <w:szCs w:val="22"/>
              </w:rPr>
              <w:t>14</w:t>
            </w:r>
            <w:r w:rsidR="002A59D8">
              <w:rPr>
                <w:rFonts w:ascii="Calibri" w:hAnsi="Calibri"/>
                <w:sz w:val="22"/>
                <w:szCs w:val="22"/>
              </w:rPr>
              <w:t>.</w:t>
            </w:r>
          </w:p>
        </w:tc>
        <w:tc>
          <w:tcPr>
            <w:tcW w:w="3670" w:type="dxa"/>
            <w:hideMark/>
          </w:tcPr>
          <w:p w14:paraId="349D60A7" w14:textId="77777777" w:rsidR="00E41614" w:rsidRPr="00E41614" w:rsidRDefault="00E41614">
            <w:pPr>
              <w:rPr>
                <w:rFonts w:ascii="Calibri" w:hAnsi="Calibri"/>
                <w:sz w:val="22"/>
                <w:szCs w:val="22"/>
              </w:rPr>
            </w:pPr>
            <w:r w:rsidRPr="00E41614">
              <w:rPr>
                <w:rFonts w:ascii="Calibri" w:hAnsi="Calibri"/>
                <w:sz w:val="22"/>
                <w:szCs w:val="22"/>
              </w:rPr>
              <w:t>Zračna luka Osijek</w:t>
            </w:r>
          </w:p>
        </w:tc>
        <w:tc>
          <w:tcPr>
            <w:tcW w:w="3418" w:type="dxa"/>
            <w:hideMark/>
          </w:tcPr>
          <w:p w14:paraId="1491A922" w14:textId="77777777" w:rsidR="00E41614" w:rsidRPr="00E41614" w:rsidRDefault="00E41614">
            <w:pPr>
              <w:rPr>
                <w:rFonts w:ascii="Calibri" w:hAnsi="Calibri"/>
                <w:sz w:val="22"/>
                <w:szCs w:val="22"/>
              </w:rPr>
            </w:pPr>
            <w:r w:rsidRPr="00E41614">
              <w:rPr>
                <w:rFonts w:ascii="Calibri" w:hAnsi="Calibri"/>
                <w:sz w:val="22"/>
                <w:szCs w:val="22"/>
              </w:rPr>
              <w:t>Vukovarska ulica 67, Klisa</w:t>
            </w:r>
          </w:p>
        </w:tc>
        <w:tc>
          <w:tcPr>
            <w:tcW w:w="1653" w:type="dxa"/>
            <w:hideMark/>
          </w:tcPr>
          <w:p w14:paraId="33123540" w14:textId="77777777" w:rsidR="00E41614" w:rsidRPr="00E41614" w:rsidRDefault="00E41614" w:rsidP="00E41614">
            <w:pPr>
              <w:rPr>
                <w:rFonts w:ascii="Calibri" w:hAnsi="Calibri"/>
                <w:sz w:val="22"/>
                <w:szCs w:val="22"/>
              </w:rPr>
            </w:pPr>
            <w:r w:rsidRPr="00E41614">
              <w:rPr>
                <w:rFonts w:ascii="Calibri" w:hAnsi="Calibri"/>
                <w:sz w:val="22"/>
                <w:szCs w:val="22"/>
              </w:rPr>
              <w:t>48188420009</w:t>
            </w:r>
          </w:p>
        </w:tc>
        <w:tc>
          <w:tcPr>
            <w:tcW w:w="1014" w:type="dxa"/>
            <w:hideMark/>
          </w:tcPr>
          <w:p w14:paraId="5C919F0E" w14:textId="77777777" w:rsidR="00E41614" w:rsidRPr="00E41614" w:rsidRDefault="00E41614" w:rsidP="00E41614">
            <w:pPr>
              <w:rPr>
                <w:rFonts w:ascii="Calibri" w:hAnsi="Calibri"/>
                <w:sz w:val="22"/>
                <w:szCs w:val="22"/>
              </w:rPr>
            </w:pPr>
            <w:r w:rsidRPr="00E41614">
              <w:rPr>
                <w:rFonts w:ascii="Calibri" w:hAnsi="Calibri"/>
                <w:sz w:val="22"/>
                <w:szCs w:val="22"/>
              </w:rPr>
              <w:t>d.o.o.</w:t>
            </w:r>
          </w:p>
        </w:tc>
        <w:tc>
          <w:tcPr>
            <w:tcW w:w="2322" w:type="dxa"/>
            <w:hideMark/>
          </w:tcPr>
          <w:p w14:paraId="598FCEE0" w14:textId="77777777" w:rsidR="00E41614" w:rsidRPr="00E41614" w:rsidRDefault="00E41614">
            <w:pPr>
              <w:rPr>
                <w:rFonts w:ascii="Calibri" w:hAnsi="Calibri"/>
                <w:sz w:val="22"/>
                <w:szCs w:val="22"/>
              </w:rPr>
            </w:pPr>
            <w:r w:rsidRPr="00E41614">
              <w:rPr>
                <w:rFonts w:ascii="Calibri" w:hAnsi="Calibri"/>
                <w:sz w:val="22"/>
                <w:szCs w:val="22"/>
              </w:rPr>
              <w:t>Republika Hrvatska, Osječko-baranjska županija-Županijska skupština, grad Osijek</w:t>
            </w:r>
          </w:p>
        </w:tc>
        <w:tc>
          <w:tcPr>
            <w:tcW w:w="1603" w:type="dxa"/>
            <w:hideMark/>
          </w:tcPr>
          <w:p w14:paraId="7D004BB3"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1459" w:type="dxa"/>
            <w:hideMark/>
          </w:tcPr>
          <w:p w14:paraId="0F651A8D"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2866" w:type="dxa"/>
            <w:hideMark/>
          </w:tcPr>
          <w:p w14:paraId="34B844E7" w14:textId="77777777" w:rsidR="00E41614" w:rsidRPr="00E41614" w:rsidRDefault="00E41614" w:rsidP="00F667BE">
            <w:pPr>
              <w:rPr>
                <w:rFonts w:ascii="Calibri" w:hAnsi="Calibri"/>
                <w:sz w:val="22"/>
                <w:szCs w:val="22"/>
              </w:rPr>
            </w:pPr>
            <w:r w:rsidRPr="00E41614">
              <w:rPr>
                <w:rFonts w:ascii="Calibri" w:hAnsi="Calibri"/>
                <w:sz w:val="22"/>
                <w:szCs w:val="22"/>
              </w:rPr>
              <w:t>Uprava zračnog prometa, elektroničkih komunikacija i pošte</w:t>
            </w:r>
          </w:p>
        </w:tc>
        <w:tc>
          <w:tcPr>
            <w:tcW w:w="3059" w:type="dxa"/>
            <w:hideMark/>
          </w:tcPr>
          <w:p w14:paraId="1C3815CE" w14:textId="77777777" w:rsidR="00E41614" w:rsidRPr="00E41614" w:rsidRDefault="0074387A" w:rsidP="008F21F0">
            <w:pPr>
              <w:rPr>
                <w:rFonts w:ascii="Calibri" w:hAnsi="Calibri"/>
                <w:sz w:val="22"/>
                <w:szCs w:val="22"/>
                <w:u w:val="single"/>
              </w:rPr>
            </w:pPr>
            <w:hyperlink r:id="rId49" w:history="1">
              <w:r w:rsidR="00E41614" w:rsidRPr="00E41614">
                <w:rPr>
                  <w:rStyle w:val="Hiperveza"/>
                  <w:rFonts w:ascii="Calibri" w:hAnsi="Calibri"/>
                  <w:sz w:val="22"/>
                  <w:szCs w:val="22"/>
                </w:rPr>
                <w:t>ZL Osijek - Godišnja financijska izvješća</w:t>
              </w:r>
            </w:hyperlink>
          </w:p>
        </w:tc>
      </w:tr>
      <w:tr w:rsidR="000830AF" w:rsidRPr="00E41614" w14:paraId="7A27CBEB" w14:textId="77777777" w:rsidTr="000830AF">
        <w:trPr>
          <w:trHeight w:val="1080"/>
        </w:trPr>
        <w:tc>
          <w:tcPr>
            <w:tcW w:w="610" w:type="dxa"/>
            <w:hideMark/>
          </w:tcPr>
          <w:p w14:paraId="2F63F03B" w14:textId="46E30740" w:rsidR="00E41614" w:rsidRPr="00E41614" w:rsidRDefault="00E41614" w:rsidP="00E41614">
            <w:pPr>
              <w:rPr>
                <w:rFonts w:ascii="Calibri" w:hAnsi="Calibri"/>
                <w:sz w:val="22"/>
                <w:szCs w:val="22"/>
              </w:rPr>
            </w:pPr>
            <w:r w:rsidRPr="00E41614">
              <w:rPr>
                <w:rFonts w:ascii="Calibri" w:hAnsi="Calibri"/>
                <w:sz w:val="22"/>
                <w:szCs w:val="22"/>
              </w:rPr>
              <w:t>15</w:t>
            </w:r>
            <w:r w:rsidR="002A59D8">
              <w:rPr>
                <w:rFonts w:ascii="Calibri" w:hAnsi="Calibri"/>
                <w:sz w:val="22"/>
                <w:szCs w:val="22"/>
              </w:rPr>
              <w:t>.</w:t>
            </w:r>
          </w:p>
        </w:tc>
        <w:tc>
          <w:tcPr>
            <w:tcW w:w="3670" w:type="dxa"/>
            <w:hideMark/>
          </w:tcPr>
          <w:p w14:paraId="2803DAFB" w14:textId="77777777" w:rsidR="00E41614" w:rsidRPr="00E41614" w:rsidRDefault="00E41614">
            <w:pPr>
              <w:rPr>
                <w:rFonts w:ascii="Calibri" w:hAnsi="Calibri"/>
                <w:sz w:val="22"/>
                <w:szCs w:val="22"/>
              </w:rPr>
            </w:pPr>
            <w:r w:rsidRPr="00E41614">
              <w:rPr>
                <w:rFonts w:ascii="Calibri" w:hAnsi="Calibri"/>
                <w:sz w:val="22"/>
                <w:szCs w:val="22"/>
              </w:rPr>
              <w:t>Zračna luka Zagreb</w:t>
            </w:r>
          </w:p>
        </w:tc>
        <w:tc>
          <w:tcPr>
            <w:tcW w:w="3418" w:type="dxa"/>
            <w:hideMark/>
          </w:tcPr>
          <w:p w14:paraId="36F496F7" w14:textId="77777777" w:rsidR="00E41614" w:rsidRPr="00E41614" w:rsidRDefault="00E41614">
            <w:pPr>
              <w:rPr>
                <w:rFonts w:ascii="Calibri" w:hAnsi="Calibri"/>
                <w:sz w:val="22"/>
                <w:szCs w:val="22"/>
              </w:rPr>
            </w:pPr>
            <w:r w:rsidRPr="00E41614">
              <w:rPr>
                <w:rFonts w:ascii="Calibri" w:hAnsi="Calibri"/>
                <w:sz w:val="22"/>
                <w:szCs w:val="22"/>
              </w:rPr>
              <w:t xml:space="preserve">Ulica Rudolfa </w:t>
            </w:r>
            <w:proofErr w:type="spellStart"/>
            <w:r w:rsidRPr="00E41614">
              <w:rPr>
                <w:rFonts w:ascii="Calibri" w:hAnsi="Calibri"/>
                <w:sz w:val="22"/>
                <w:szCs w:val="22"/>
              </w:rPr>
              <w:t>Fizira</w:t>
            </w:r>
            <w:proofErr w:type="spellEnd"/>
            <w:r w:rsidRPr="00E41614">
              <w:rPr>
                <w:rFonts w:ascii="Calibri" w:hAnsi="Calibri"/>
                <w:sz w:val="22"/>
                <w:szCs w:val="22"/>
              </w:rPr>
              <w:t xml:space="preserve"> 1, Velika Gorica</w:t>
            </w:r>
          </w:p>
        </w:tc>
        <w:tc>
          <w:tcPr>
            <w:tcW w:w="1653" w:type="dxa"/>
            <w:hideMark/>
          </w:tcPr>
          <w:p w14:paraId="60505C04" w14:textId="77777777" w:rsidR="00E41614" w:rsidRPr="00E41614" w:rsidRDefault="00E41614" w:rsidP="00E41614">
            <w:pPr>
              <w:rPr>
                <w:rFonts w:ascii="Calibri" w:hAnsi="Calibri"/>
                <w:sz w:val="22"/>
                <w:szCs w:val="22"/>
              </w:rPr>
            </w:pPr>
            <w:r w:rsidRPr="00E41614">
              <w:rPr>
                <w:rFonts w:ascii="Calibri" w:hAnsi="Calibri"/>
                <w:sz w:val="22"/>
                <w:szCs w:val="22"/>
              </w:rPr>
              <w:t>60482636839</w:t>
            </w:r>
          </w:p>
        </w:tc>
        <w:tc>
          <w:tcPr>
            <w:tcW w:w="1014" w:type="dxa"/>
            <w:hideMark/>
          </w:tcPr>
          <w:p w14:paraId="05E700F0" w14:textId="77777777" w:rsidR="00E41614" w:rsidRPr="00E41614" w:rsidRDefault="00E41614" w:rsidP="00E41614">
            <w:pPr>
              <w:rPr>
                <w:rFonts w:ascii="Calibri" w:hAnsi="Calibri"/>
                <w:sz w:val="22"/>
                <w:szCs w:val="22"/>
              </w:rPr>
            </w:pPr>
            <w:r w:rsidRPr="00E41614">
              <w:rPr>
                <w:rFonts w:ascii="Calibri" w:hAnsi="Calibri"/>
                <w:sz w:val="22"/>
                <w:szCs w:val="22"/>
              </w:rPr>
              <w:t>d.o.o.</w:t>
            </w:r>
          </w:p>
        </w:tc>
        <w:tc>
          <w:tcPr>
            <w:tcW w:w="2322" w:type="dxa"/>
            <w:hideMark/>
          </w:tcPr>
          <w:p w14:paraId="0A1BB7DB" w14:textId="77777777" w:rsidR="00E41614" w:rsidRPr="00E41614" w:rsidRDefault="00E41614">
            <w:pPr>
              <w:rPr>
                <w:rFonts w:ascii="Calibri" w:hAnsi="Calibri"/>
                <w:sz w:val="22"/>
                <w:szCs w:val="22"/>
              </w:rPr>
            </w:pPr>
            <w:r w:rsidRPr="00E41614">
              <w:rPr>
                <w:rFonts w:ascii="Calibri" w:hAnsi="Calibri"/>
                <w:sz w:val="22"/>
                <w:szCs w:val="22"/>
              </w:rPr>
              <w:t>Republika Hrvatska, grad Zagreb, grad Velika Gorica, Zagrebačka županija</w:t>
            </w:r>
          </w:p>
        </w:tc>
        <w:tc>
          <w:tcPr>
            <w:tcW w:w="1603" w:type="dxa"/>
            <w:hideMark/>
          </w:tcPr>
          <w:p w14:paraId="6468F6AB"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1459" w:type="dxa"/>
            <w:hideMark/>
          </w:tcPr>
          <w:p w14:paraId="29CBDB1C" w14:textId="77777777" w:rsidR="00E41614" w:rsidRPr="00E41614" w:rsidRDefault="00E41614" w:rsidP="00F667BE">
            <w:pPr>
              <w:jc w:val="center"/>
              <w:rPr>
                <w:rFonts w:ascii="Calibri" w:hAnsi="Calibri"/>
                <w:sz w:val="22"/>
                <w:szCs w:val="22"/>
              </w:rPr>
            </w:pPr>
            <w:r w:rsidRPr="00E41614">
              <w:rPr>
                <w:rFonts w:ascii="Calibri" w:hAnsi="Calibri"/>
                <w:sz w:val="22"/>
                <w:szCs w:val="22"/>
              </w:rPr>
              <w:t>da</w:t>
            </w:r>
          </w:p>
        </w:tc>
        <w:tc>
          <w:tcPr>
            <w:tcW w:w="2866" w:type="dxa"/>
            <w:hideMark/>
          </w:tcPr>
          <w:p w14:paraId="0CA1849C" w14:textId="77777777" w:rsidR="00E41614" w:rsidRPr="00E41614" w:rsidRDefault="00E41614" w:rsidP="00F667BE">
            <w:pPr>
              <w:rPr>
                <w:rFonts w:ascii="Calibri" w:hAnsi="Calibri"/>
                <w:sz w:val="22"/>
                <w:szCs w:val="22"/>
              </w:rPr>
            </w:pPr>
            <w:r w:rsidRPr="00E41614">
              <w:rPr>
                <w:rFonts w:ascii="Calibri" w:hAnsi="Calibri"/>
                <w:sz w:val="22"/>
                <w:szCs w:val="22"/>
              </w:rPr>
              <w:t>Uprava zračnog prometa, elektroničkih komunikacija i pošte</w:t>
            </w:r>
          </w:p>
        </w:tc>
        <w:tc>
          <w:tcPr>
            <w:tcW w:w="3059" w:type="dxa"/>
            <w:hideMark/>
          </w:tcPr>
          <w:p w14:paraId="2B691A6F" w14:textId="77777777" w:rsidR="00E41614" w:rsidRPr="00E41614" w:rsidRDefault="0074387A" w:rsidP="008F21F0">
            <w:pPr>
              <w:rPr>
                <w:rFonts w:ascii="Calibri" w:hAnsi="Calibri"/>
                <w:sz w:val="22"/>
                <w:szCs w:val="22"/>
                <w:u w:val="single"/>
              </w:rPr>
            </w:pPr>
            <w:hyperlink r:id="rId50" w:history="1">
              <w:r w:rsidR="00E41614" w:rsidRPr="00E41614">
                <w:rPr>
                  <w:rStyle w:val="Hiperveza"/>
                  <w:rFonts w:ascii="Calibri" w:hAnsi="Calibri"/>
                  <w:sz w:val="22"/>
                  <w:szCs w:val="22"/>
                </w:rPr>
                <w:t>ZL Zagreb - Godišnja financijska izvješća</w:t>
              </w:r>
            </w:hyperlink>
          </w:p>
        </w:tc>
      </w:tr>
      <w:tr w:rsidR="00E41614" w:rsidRPr="00E41614" w14:paraId="4C6B65A0" w14:textId="77777777" w:rsidTr="000830AF">
        <w:trPr>
          <w:trHeight w:val="375"/>
        </w:trPr>
        <w:tc>
          <w:tcPr>
            <w:tcW w:w="610" w:type="dxa"/>
            <w:noWrap/>
            <w:hideMark/>
          </w:tcPr>
          <w:p w14:paraId="63C6EE08" w14:textId="77777777" w:rsidR="00E41614" w:rsidRPr="00E41614" w:rsidRDefault="00E41614" w:rsidP="00E41614">
            <w:pPr>
              <w:rPr>
                <w:rFonts w:ascii="Calibri" w:hAnsi="Calibri"/>
                <w:sz w:val="22"/>
                <w:szCs w:val="22"/>
              </w:rPr>
            </w:pPr>
            <w:r w:rsidRPr="00E41614">
              <w:rPr>
                <w:rFonts w:ascii="Calibri" w:hAnsi="Calibri"/>
                <w:sz w:val="22"/>
                <w:szCs w:val="22"/>
              </w:rPr>
              <w:t>*</w:t>
            </w:r>
          </w:p>
        </w:tc>
        <w:tc>
          <w:tcPr>
            <w:tcW w:w="21064" w:type="dxa"/>
            <w:gridSpan w:val="9"/>
            <w:hideMark/>
          </w:tcPr>
          <w:p w14:paraId="61A685E4" w14:textId="77777777" w:rsidR="00E41614" w:rsidRPr="00E41614" w:rsidRDefault="00E41614">
            <w:pPr>
              <w:rPr>
                <w:rFonts w:ascii="Calibri" w:hAnsi="Calibri"/>
                <w:sz w:val="22"/>
                <w:szCs w:val="22"/>
              </w:rPr>
            </w:pPr>
            <w:r w:rsidRPr="00E41614">
              <w:rPr>
                <w:rFonts w:ascii="Calibri" w:hAnsi="Calibri"/>
                <w:sz w:val="22"/>
                <w:szCs w:val="22"/>
              </w:rPr>
              <w:t>Institucije iz nadležnosti koje su obveznici sastavljanja i predaje Izjave o fiskalnoj odgovornosti ovom Ministarstvu (uključujući HAKOM koji Izjavu o fiskalnoj odgovornosti dostavlja Hrvatskom saboru)</w:t>
            </w:r>
          </w:p>
        </w:tc>
      </w:tr>
    </w:tbl>
    <w:p w14:paraId="472DFFFF" w14:textId="257E591A" w:rsidR="00BA22AA" w:rsidRPr="00BA22AA" w:rsidRDefault="00BA22AA" w:rsidP="00BA22AA">
      <w:pPr>
        <w:tabs>
          <w:tab w:val="left" w:pos="1125"/>
        </w:tabs>
        <w:rPr>
          <w:rFonts w:ascii="Calibri" w:hAnsi="Calibri"/>
          <w:sz w:val="22"/>
          <w:szCs w:val="22"/>
        </w:rPr>
      </w:pPr>
    </w:p>
    <w:sectPr w:rsidR="00BA22AA" w:rsidRPr="00BA22AA" w:rsidSect="00BA22AA">
      <w:pgSz w:w="23811" w:h="16838" w:orient="landscape" w:code="8"/>
      <w:pgMar w:top="1440" w:right="851" w:bottom="1134" w:left="1276" w:header="709" w:footer="6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D5F30" w14:textId="77777777" w:rsidR="0027034B" w:rsidRDefault="0027034B">
      <w:r>
        <w:separator/>
      </w:r>
    </w:p>
  </w:endnote>
  <w:endnote w:type="continuationSeparator" w:id="0">
    <w:p w14:paraId="1D4C3C48" w14:textId="77777777" w:rsidR="0027034B" w:rsidRDefault="0027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IDAutomationC93M">
    <w:panose1 w:val="02000508000000020002"/>
    <w:charset w:val="00"/>
    <w:family w:val="auto"/>
    <w:pitch w:val="variable"/>
    <w:sig w:usb0="00000003" w:usb1="10000000" w:usb2="00000000" w:usb3="00000000" w:csb0="00000001" w:csb1="00000000"/>
  </w:font>
  <w:font w:name="CarolinaBar-B39-25F2">
    <w:panose1 w:val="020B06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976973"/>
      <w:docPartObj>
        <w:docPartGallery w:val="Page Numbers (Bottom of Page)"/>
        <w:docPartUnique/>
      </w:docPartObj>
    </w:sdtPr>
    <w:sdtEndPr/>
    <w:sdtContent>
      <w:p w14:paraId="172DB2A6" w14:textId="4439C17B" w:rsidR="0053109D" w:rsidRDefault="0053109D">
        <w:pPr>
          <w:pStyle w:val="Podnoje"/>
          <w:jc w:val="right"/>
        </w:pPr>
        <w:r>
          <w:fldChar w:fldCharType="begin"/>
        </w:r>
        <w:r>
          <w:instrText>PAGE   \* MERGEFORMAT</w:instrText>
        </w:r>
        <w:r>
          <w:fldChar w:fldCharType="separate"/>
        </w:r>
        <w:r w:rsidR="0074387A">
          <w:rPr>
            <w:noProof/>
          </w:rPr>
          <w:t>2</w:t>
        </w:r>
        <w:r>
          <w:fldChar w:fldCharType="end"/>
        </w:r>
      </w:p>
    </w:sdtContent>
  </w:sdt>
  <w:p w14:paraId="1F12BFFE" w14:textId="77777777" w:rsidR="0027034B" w:rsidRDefault="0027034B">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422019"/>
      <w:docPartObj>
        <w:docPartGallery w:val="Page Numbers (Bottom of Page)"/>
        <w:docPartUnique/>
      </w:docPartObj>
    </w:sdtPr>
    <w:sdtEndPr/>
    <w:sdtContent>
      <w:p w14:paraId="36FE973A" w14:textId="0C3E9048" w:rsidR="0053109D" w:rsidRDefault="0053109D">
        <w:pPr>
          <w:pStyle w:val="Podnoje"/>
          <w:jc w:val="right"/>
        </w:pPr>
        <w:r>
          <w:fldChar w:fldCharType="begin"/>
        </w:r>
        <w:r>
          <w:instrText>PAGE   \* MERGEFORMAT</w:instrText>
        </w:r>
        <w:r>
          <w:fldChar w:fldCharType="separate"/>
        </w:r>
        <w:r w:rsidR="0074387A">
          <w:rPr>
            <w:noProof/>
          </w:rPr>
          <w:t>10</w:t>
        </w:r>
        <w:r>
          <w:fldChar w:fldCharType="end"/>
        </w:r>
      </w:p>
    </w:sdtContent>
  </w:sdt>
  <w:p w14:paraId="5FFC532D" w14:textId="77777777" w:rsidR="0053109D" w:rsidRDefault="0053109D">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7687499"/>
      <w:docPartObj>
        <w:docPartGallery w:val="Page Numbers (Bottom of Page)"/>
        <w:docPartUnique/>
      </w:docPartObj>
    </w:sdtPr>
    <w:sdtEndPr/>
    <w:sdtContent>
      <w:p w14:paraId="4AF5C3B8" w14:textId="51A60F57" w:rsidR="00086FB4" w:rsidRDefault="00086FB4">
        <w:pPr>
          <w:pStyle w:val="Podnoje"/>
          <w:jc w:val="right"/>
        </w:pPr>
        <w:r>
          <w:fldChar w:fldCharType="begin"/>
        </w:r>
        <w:r>
          <w:instrText>PAGE   \* MERGEFORMAT</w:instrText>
        </w:r>
        <w:r>
          <w:fldChar w:fldCharType="separate"/>
        </w:r>
        <w:r w:rsidR="0074387A">
          <w:rPr>
            <w:noProof/>
          </w:rPr>
          <w:t>94</w:t>
        </w:r>
        <w:r>
          <w:fldChar w:fldCharType="end"/>
        </w:r>
      </w:p>
    </w:sdtContent>
  </w:sdt>
  <w:p w14:paraId="072D477C" w14:textId="77777777" w:rsidR="0027034B" w:rsidRDefault="0027034B">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0231854"/>
      <w:docPartObj>
        <w:docPartGallery w:val="Page Numbers (Bottom of Page)"/>
        <w:docPartUnique/>
      </w:docPartObj>
    </w:sdtPr>
    <w:sdtEndPr/>
    <w:sdtContent>
      <w:p w14:paraId="0D2E6FFE" w14:textId="58FEE2C8" w:rsidR="0027034B" w:rsidRDefault="0027034B">
        <w:pPr>
          <w:pStyle w:val="Podnoje"/>
          <w:jc w:val="right"/>
        </w:pPr>
        <w:r>
          <w:fldChar w:fldCharType="begin"/>
        </w:r>
        <w:r>
          <w:instrText>PAGE   \* MERGEFORMAT</w:instrText>
        </w:r>
        <w:r>
          <w:fldChar w:fldCharType="separate"/>
        </w:r>
        <w:r w:rsidR="0074387A">
          <w:rPr>
            <w:noProof/>
          </w:rPr>
          <w:t>116</w:t>
        </w:r>
        <w:r>
          <w:fldChar w:fldCharType="end"/>
        </w:r>
      </w:p>
    </w:sdtContent>
  </w:sdt>
  <w:p w14:paraId="6BAA16D5" w14:textId="77777777" w:rsidR="0027034B" w:rsidRDefault="0027034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3A706" w14:textId="77777777" w:rsidR="0027034B" w:rsidRDefault="0027034B">
      <w:r>
        <w:separator/>
      </w:r>
    </w:p>
  </w:footnote>
  <w:footnote w:type="continuationSeparator" w:id="0">
    <w:p w14:paraId="29E1EA6C" w14:textId="77777777" w:rsidR="0027034B" w:rsidRDefault="002703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E6D36"/>
    <w:multiLevelType w:val="hybridMultilevel"/>
    <w:tmpl w:val="F9200A9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4C62012"/>
    <w:multiLevelType w:val="hybridMultilevel"/>
    <w:tmpl w:val="30F8E1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E90444F"/>
    <w:multiLevelType w:val="hybridMultilevel"/>
    <w:tmpl w:val="C144ED32"/>
    <w:lvl w:ilvl="0" w:tplc="2972758A">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8FA473E"/>
    <w:multiLevelType w:val="hybridMultilevel"/>
    <w:tmpl w:val="C764F22A"/>
    <w:lvl w:ilvl="0" w:tplc="52700FC8">
      <w:start w:val="4"/>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6515B0E"/>
    <w:multiLevelType w:val="hybridMultilevel"/>
    <w:tmpl w:val="FF5AD22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24C6F0D"/>
    <w:multiLevelType w:val="hybridMultilevel"/>
    <w:tmpl w:val="9BC08A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D240383"/>
    <w:multiLevelType w:val="hybridMultilevel"/>
    <w:tmpl w:val="AAB6A2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E692CA1"/>
    <w:multiLevelType w:val="multilevel"/>
    <w:tmpl w:val="FBBE3D0C"/>
    <w:lvl w:ilvl="0">
      <w:start w:val="1"/>
      <w:numFmt w:val="decimal"/>
      <w:lvlText w:val="%1."/>
      <w:lvlJc w:val="left"/>
      <w:pPr>
        <w:ind w:left="720" w:hanging="360"/>
      </w:pPr>
      <w:rPr>
        <w:rFonts w:ascii="Calibri" w:hAnsi="Calibri" w:cs="Calibri" w:hint="default"/>
        <w:b/>
        <w:color w:val="365F91"/>
        <w:sz w:val="28"/>
        <w:szCs w:val="28"/>
      </w:rPr>
    </w:lvl>
    <w:lvl w:ilvl="1">
      <w:start w:val="1"/>
      <w:numFmt w:val="decimal"/>
      <w:pStyle w:val="Stil1"/>
      <w:isLgl/>
      <w:lvlText w:val="%1.%2."/>
      <w:lvlJc w:val="left"/>
      <w:pPr>
        <w:ind w:left="720" w:hanging="360"/>
      </w:pPr>
      <w:rPr>
        <w:rFonts w:eastAsia="SimSun" w:hint="default"/>
        <w:color w:val="365F91"/>
      </w:rPr>
    </w:lvl>
    <w:lvl w:ilvl="2">
      <w:start w:val="1"/>
      <w:numFmt w:val="decimal"/>
      <w:isLgl/>
      <w:lvlText w:val="%1.%2.%3."/>
      <w:lvlJc w:val="left"/>
      <w:pPr>
        <w:ind w:left="1080" w:hanging="720"/>
      </w:pPr>
      <w:rPr>
        <w:rFonts w:eastAsia="SimSun" w:hint="default"/>
        <w:color w:val="000000"/>
      </w:rPr>
    </w:lvl>
    <w:lvl w:ilvl="3">
      <w:start w:val="1"/>
      <w:numFmt w:val="decimal"/>
      <w:isLgl/>
      <w:lvlText w:val="%1.%2.%3.%4."/>
      <w:lvlJc w:val="left"/>
      <w:pPr>
        <w:ind w:left="1080" w:hanging="720"/>
      </w:pPr>
      <w:rPr>
        <w:rFonts w:eastAsia="SimSun" w:hint="default"/>
        <w:color w:val="000000"/>
      </w:rPr>
    </w:lvl>
    <w:lvl w:ilvl="4">
      <w:start w:val="1"/>
      <w:numFmt w:val="decimal"/>
      <w:isLgl/>
      <w:lvlText w:val="%1.%2.%3.%4.%5."/>
      <w:lvlJc w:val="left"/>
      <w:pPr>
        <w:ind w:left="1440" w:hanging="1080"/>
      </w:pPr>
      <w:rPr>
        <w:rFonts w:eastAsia="SimSun" w:hint="default"/>
        <w:color w:val="000000"/>
      </w:rPr>
    </w:lvl>
    <w:lvl w:ilvl="5">
      <w:start w:val="1"/>
      <w:numFmt w:val="decimal"/>
      <w:isLgl/>
      <w:lvlText w:val="%1.%2.%3.%4.%5.%6."/>
      <w:lvlJc w:val="left"/>
      <w:pPr>
        <w:ind w:left="1440" w:hanging="1080"/>
      </w:pPr>
      <w:rPr>
        <w:rFonts w:eastAsia="SimSun" w:hint="default"/>
        <w:color w:val="000000"/>
      </w:rPr>
    </w:lvl>
    <w:lvl w:ilvl="6">
      <w:start w:val="1"/>
      <w:numFmt w:val="decimal"/>
      <w:isLgl/>
      <w:lvlText w:val="%1.%2.%3.%4.%5.%6.%7."/>
      <w:lvlJc w:val="left"/>
      <w:pPr>
        <w:ind w:left="1800" w:hanging="1440"/>
      </w:pPr>
      <w:rPr>
        <w:rFonts w:eastAsia="SimSun" w:hint="default"/>
        <w:color w:val="000000"/>
      </w:rPr>
    </w:lvl>
    <w:lvl w:ilvl="7">
      <w:start w:val="1"/>
      <w:numFmt w:val="decimal"/>
      <w:isLgl/>
      <w:lvlText w:val="%1.%2.%3.%4.%5.%6.%7.%8."/>
      <w:lvlJc w:val="left"/>
      <w:pPr>
        <w:ind w:left="1800" w:hanging="1440"/>
      </w:pPr>
      <w:rPr>
        <w:rFonts w:eastAsia="SimSun" w:hint="default"/>
        <w:color w:val="000000"/>
      </w:rPr>
    </w:lvl>
    <w:lvl w:ilvl="8">
      <w:start w:val="1"/>
      <w:numFmt w:val="decimal"/>
      <w:isLgl/>
      <w:lvlText w:val="%1.%2.%3.%4.%5.%6.%7.%8.%9."/>
      <w:lvlJc w:val="left"/>
      <w:pPr>
        <w:ind w:left="2160" w:hanging="1800"/>
      </w:pPr>
      <w:rPr>
        <w:rFonts w:eastAsia="SimSun" w:hint="default"/>
        <w:color w:val="000000"/>
      </w:rPr>
    </w:lvl>
  </w:abstractNum>
  <w:abstractNum w:abstractNumId="8" w15:restartNumberingAfterBreak="0">
    <w:nsid w:val="78885288"/>
    <w:multiLevelType w:val="hybridMultilevel"/>
    <w:tmpl w:val="9774A2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3"/>
  </w:num>
  <w:num w:numId="5">
    <w:abstractNumId w:val="1"/>
  </w:num>
  <w:num w:numId="6">
    <w:abstractNumId w:val="5"/>
  </w:num>
  <w:num w:numId="7">
    <w:abstractNumId w:val="6"/>
  </w:num>
  <w:num w:numId="8">
    <w:abstractNumId w:val="8"/>
  </w:num>
  <w:num w:numId="9">
    <w:abstractNumId w:val="8"/>
  </w:num>
  <w:num w:numId="10">
    <w:abstractNumId w:val="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9EF"/>
    <w:rsid w:val="00003975"/>
    <w:rsid w:val="00007756"/>
    <w:rsid w:val="00012B7C"/>
    <w:rsid w:val="0002577C"/>
    <w:rsid w:val="00027CDC"/>
    <w:rsid w:val="00027F6B"/>
    <w:rsid w:val="0003349E"/>
    <w:rsid w:val="0003799D"/>
    <w:rsid w:val="00042FFE"/>
    <w:rsid w:val="00056559"/>
    <w:rsid w:val="00062BF8"/>
    <w:rsid w:val="0006455B"/>
    <w:rsid w:val="000747C6"/>
    <w:rsid w:val="000830AF"/>
    <w:rsid w:val="00086FB4"/>
    <w:rsid w:val="000A48D1"/>
    <w:rsid w:val="000A7889"/>
    <w:rsid w:val="000B3D43"/>
    <w:rsid w:val="000B4EB8"/>
    <w:rsid w:val="000C131C"/>
    <w:rsid w:val="000D2A81"/>
    <w:rsid w:val="000D7D23"/>
    <w:rsid w:val="000E1812"/>
    <w:rsid w:val="000E245F"/>
    <w:rsid w:val="000E46BF"/>
    <w:rsid w:val="000F2EE4"/>
    <w:rsid w:val="0010251D"/>
    <w:rsid w:val="00102D1D"/>
    <w:rsid w:val="001039D6"/>
    <w:rsid w:val="00106158"/>
    <w:rsid w:val="001222EF"/>
    <w:rsid w:val="001227F7"/>
    <w:rsid w:val="0013162A"/>
    <w:rsid w:val="00141DEA"/>
    <w:rsid w:val="00145A75"/>
    <w:rsid w:val="00157924"/>
    <w:rsid w:val="00160178"/>
    <w:rsid w:val="0017037B"/>
    <w:rsid w:val="00180B8D"/>
    <w:rsid w:val="00181619"/>
    <w:rsid w:val="001B11E3"/>
    <w:rsid w:val="001B4D2C"/>
    <w:rsid w:val="001C7B13"/>
    <w:rsid w:val="001D63A1"/>
    <w:rsid w:val="001F0A9A"/>
    <w:rsid w:val="001F5565"/>
    <w:rsid w:val="00202720"/>
    <w:rsid w:val="0021290E"/>
    <w:rsid w:val="00247663"/>
    <w:rsid w:val="0026642D"/>
    <w:rsid w:val="0027034B"/>
    <w:rsid w:val="00274A1F"/>
    <w:rsid w:val="00276D60"/>
    <w:rsid w:val="0028635D"/>
    <w:rsid w:val="00286E5F"/>
    <w:rsid w:val="002925DA"/>
    <w:rsid w:val="00297B65"/>
    <w:rsid w:val="002A4337"/>
    <w:rsid w:val="002A59D8"/>
    <w:rsid w:val="002B066D"/>
    <w:rsid w:val="002B4C39"/>
    <w:rsid w:val="002D2855"/>
    <w:rsid w:val="002E0DA1"/>
    <w:rsid w:val="002E0EB1"/>
    <w:rsid w:val="002E56B0"/>
    <w:rsid w:val="00304B2D"/>
    <w:rsid w:val="0030685D"/>
    <w:rsid w:val="003124CA"/>
    <w:rsid w:val="00314A95"/>
    <w:rsid w:val="00321941"/>
    <w:rsid w:val="00337ABD"/>
    <w:rsid w:val="003409EF"/>
    <w:rsid w:val="00351306"/>
    <w:rsid w:val="00355CAA"/>
    <w:rsid w:val="003B1CFF"/>
    <w:rsid w:val="003C3C12"/>
    <w:rsid w:val="003D4904"/>
    <w:rsid w:val="003D75B6"/>
    <w:rsid w:val="003E63FE"/>
    <w:rsid w:val="003F4C7E"/>
    <w:rsid w:val="00403D9B"/>
    <w:rsid w:val="00411D4B"/>
    <w:rsid w:val="0041359B"/>
    <w:rsid w:val="00415547"/>
    <w:rsid w:val="0042797F"/>
    <w:rsid w:val="0043423A"/>
    <w:rsid w:val="0044058B"/>
    <w:rsid w:val="00441E62"/>
    <w:rsid w:val="0045089B"/>
    <w:rsid w:val="00456268"/>
    <w:rsid w:val="00460E1C"/>
    <w:rsid w:val="004611AF"/>
    <w:rsid w:val="0047216A"/>
    <w:rsid w:val="00490BCB"/>
    <w:rsid w:val="004A049F"/>
    <w:rsid w:val="004B4EAF"/>
    <w:rsid w:val="004C3D3B"/>
    <w:rsid w:val="004F1375"/>
    <w:rsid w:val="004F1F02"/>
    <w:rsid w:val="004F2B51"/>
    <w:rsid w:val="00504C1F"/>
    <w:rsid w:val="00530510"/>
    <w:rsid w:val="0053109D"/>
    <w:rsid w:val="00536BEC"/>
    <w:rsid w:val="0054193C"/>
    <w:rsid w:val="00542837"/>
    <w:rsid w:val="0054496F"/>
    <w:rsid w:val="005541F9"/>
    <w:rsid w:val="005768EC"/>
    <w:rsid w:val="00582A34"/>
    <w:rsid w:val="005A189B"/>
    <w:rsid w:val="005C329E"/>
    <w:rsid w:val="005D53FA"/>
    <w:rsid w:val="005E28F0"/>
    <w:rsid w:val="005F1779"/>
    <w:rsid w:val="005F257B"/>
    <w:rsid w:val="005F6192"/>
    <w:rsid w:val="005F7518"/>
    <w:rsid w:val="00606130"/>
    <w:rsid w:val="0060685B"/>
    <w:rsid w:val="00611D11"/>
    <w:rsid w:val="00626573"/>
    <w:rsid w:val="00633FFC"/>
    <w:rsid w:val="006379B3"/>
    <w:rsid w:val="0064100A"/>
    <w:rsid w:val="00656FEA"/>
    <w:rsid w:val="0067129B"/>
    <w:rsid w:val="00675F6D"/>
    <w:rsid w:val="00682DD8"/>
    <w:rsid w:val="00693C7B"/>
    <w:rsid w:val="006978AB"/>
    <w:rsid w:val="006A0B85"/>
    <w:rsid w:val="006A7511"/>
    <w:rsid w:val="006A7779"/>
    <w:rsid w:val="006B1028"/>
    <w:rsid w:val="006B50A6"/>
    <w:rsid w:val="006B6F01"/>
    <w:rsid w:val="006B72F5"/>
    <w:rsid w:val="006C7AEE"/>
    <w:rsid w:val="006D6628"/>
    <w:rsid w:val="00710E12"/>
    <w:rsid w:val="00720F60"/>
    <w:rsid w:val="00722003"/>
    <w:rsid w:val="00725E85"/>
    <w:rsid w:val="00726CF8"/>
    <w:rsid w:val="007355D9"/>
    <w:rsid w:val="0074387A"/>
    <w:rsid w:val="00745E5A"/>
    <w:rsid w:val="007503B1"/>
    <w:rsid w:val="00770609"/>
    <w:rsid w:val="007737AE"/>
    <w:rsid w:val="007850D9"/>
    <w:rsid w:val="0079366B"/>
    <w:rsid w:val="007A6457"/>
    <w:rsid w:val="007B3FD5"/>
    <w:rsid w:val="007C22AE"/>
    <w:rsid w:val="007C38E3"/>
    <w:rsid w:val="007C5632"/>
    <w:rsid w:val="007D7D77"/>
    <w:rsid w:val="00800CF8"/>
    <w:rsid w:val="0080168F"/>
    <w:rsid w:val="00804FBD"/>
    <w:rsid w:val="0081719A"/>
    <w:rsid w:val="00822B94"/>
    <w:rsid w:val="00823030"/>
    <w:rsid w:val="0082564F"/>
    <w:rsid w:val="00826B0F"/>
    <w:rsid w:val="008557E7"/>
    <w:rsid w:val="008569B1"/>
    <w:rsid w:val="0086436F"/>
    <w:rsid w:val="0087611B"/>
    <w:rsid w:val="00883A0A"/>
    <w:rsid w:val="00885D6D"/>
    <w:rsid w:val="008A386B"/>
    <w:rsid w:val="008D2280"/>
    <w:rsid w:val="008F1467"/>
    <w:rsid w:val="008F21F0"/>
    <w:rsid w:val="00901F1B"/>
    <w:rsid w:val="00903605"/>
    <w:rsid w:val="00914AA3"/>
    <w:rsid w:val="009170A8"/>
    <w:rsid w:val="00922A94"/>
    <w:rsid w:val="009255BE"/>
    <w:rsid w:val="00926550"/>
    <w:rsid w:val="00957974"/>
    <w:rsid w:val="009713AE"/>
    <w:rsid w:val="00975786"/>
    <w:rsid w:val="009811BA"/>
    <w:rsid w:val="0098691B"/>
    <w:rsid w:val="00992ABE"/>
    <w:rsid w:val="009A732B"/>
    <w:rsid w:val="009B1567"/>
    <w:rsid w:val="009B4691"/>
    <w:rsid w:val="009D33DB"/>
    <w:rsid w:val="009D650E"/>
    <w:rsid w:val="009D6F4D"/>
    <w:rsid w:val="009E07F9"/>
    <w:rsid w:val="009E6B37"/>
    <w:rsid w:val="009E6B68"/>
    <w:rsid w:val="009E77A7"/>
    <w:rsid w:val="00A042EE"/>
    <w:rsid w:val="00A1044E"/>
    <w:rsid w:val="00A13706"/>
    <w:rsid w:val="00A20842"/>
    <w:rsid w:val="00A41D28"/>
    <w:rsid w:val="00A443BD"/>
    <w:rsid w:val="00A57A31"/>
    <w:rsid w:val="00A6136B"/>
    <w:rsid w:val="00A82BA8"/>
    <w:rsid w:val="00A920E6"/>
    <w:rsid w:val="00AA3C49"/>
    <w:rsid w:val="00AA5690"/>
    <w:rsid w:val="00AA746C"/>
    <w:rsid w:val="00AC567A"/>
    <w:rsid w:val="00AC5C49"/>
    <w:rsid w:val="00AD1EF7"/>
    <w:rsid w:val="00AD7169"/>
    <w:rsid w:val="00AE44E6"/>
    <w:rsid w:val="00AE6233"/>
    <w:rsid w:val="00AF587C"/>
    <w:rsid w:val="00B110B0"/>
    <w:rsid w:val="00B15BEB"/>
    <w:rsid w:val="00B21F9D"/>
    <w:rsid w:val="00B3391C"/>
    <w:rsid w:val="00B37411"/>
    <w:rsid w:val="00B63E85"/>
    <w:rsid w:val="00B643D2"/>
    <w:rsid w:val="00B71C17"/>
    <w:rsid w:val="00B82EAF"/>
    <w:rsid w:val="00B868FB"/>
    <w:rsid w:val="00B9050A"/>
    <w:rsid w:val="00B944E6"/>
    <w:rsid w:val="00BA0FF0"/>
    <w:rsid w:val="00BA200C"/>
    <w:rsid w:val="00BA22AA"/>
    <w:rsid w:val="00BB1D3D"/>
    <w:rsid w:val="00BB5F58"/>
    <w:rsid w:val="00BB605A"/>
    <w:rsid w:val="00BB69DB"/>
    <w:rsid w:val="00BC7B26"/>
    <w:rsid w:val="00BE3DA1"/>
    <w:rsid w:val="00C0274F"/>
    <w:rsid w:val="00C048F6"/>
    <w:rsid w:val="00C07848"/>
    <w:rsid w:val="00C32103"/>
    <w:rsid w:val="00C337DE"/>
    <w:rsid w:val="00C35E6C"/>
    <w:rsid w:val="00C4479D"/>
    <w:rsid w:val="00C53FC8"/>
    <w:rsid w:val="00C54F9D"/>
    <w:rsid w:val="00C552C7"/>
    <w:rsid w:val="00C619CB"/>
    <w:rsid w:val="00C81466"/>
    <w:rsid w:val="00C85E3B"/>
    <w:rsid w:val="00CB087B"/>
    <w:rsid w:val="00CB4C08"/>
    <w:rsid w:val="00CB5378"/>
    <w:rsid w:val="00CC3A79"/>
    <w:rsid w:val="00CD5F52"/>
    <w:rsid w:val="00CD5F60"/>
    <w:rsid w:val="00CE0AE6"/>
    <w:rsid w:val="00CE0FFD"/>
    <w:rsid w:val="00CE2E99"/>
    <w:rsid w:val="00CE67A4"/>
    <w:rsid w:val="00CF6E83"/>
    <w:rsid w:val="00D0345A"/>
    <w:rsid w:val="00D03A4A"/>
    <w:rsid w:val="00D03A93"/>
    <w:rsid w:val="00D0751F"/>
    <w:rsid w:val="00D10A2D"/>
    <w:rsid w:val="00D11920"/>
    <w:rsid w:val="00D11D3A"/>
    <w:rsid w:val="00D15917"/>
    <w:rsid w:val="00D15D52"/>
    <w:rsid w:val="00D20441"/>
    <w:rsid w:val="00D2344A"/>
    <w:rsid w:val="00D277CC"/>
    <w:rsid w:val="00D356C1"/>
    <w:rsid w:val="00D3732C"/>
    <w:rsid w:val="00D40085"/>
    <w:rsid w:val="00D421DD"/>
    <w:rsid w:val="00D55348"/>
    <w:rsid w:val="00D561C7"/>
    <w:rsid w:val="00D71817"/>
    <w:rsid w:val="00D8459E"/>
    <w:rsid w:val="00D8526F"/>
    <w:rsid w:val="00D85CB2"/>
    <w:rsid w:val="00D9036C"/>
    <w:rsid w:val="00D93643"/>
    <w:rsid w:val="00DA379E"/>
    <w:rsid w:val="00DA7365"/>
    <w:rsid w:val="00DC1235"/>
    <w:rsid w:val="00DE01AC"/>
    <w:rsid w:val="00DF2402"/>
    <w:rsid w:val="00DF608A"/>
    <w:rsid w:val="00DF6DED"/>
    <w:rsid w:val="00E06B66"/>
    <w:rsid w:val="00E161EF"/>
    <w:rsid w:val="00E24386"/>
    <w:rsid w:val="00E36306"/>
    <w:rsid w:val="00E41614"/>
    <w:rsid w:val="00E436AC"/>
    <w:rsid w:val="00E641EB"/>
    <w:rsid w:val="00E80CD3"/>
    <w:rsid w:val="00E84D50"/>
    <w:rsid w:val="00E871EA"/>
    <w:rsid w:val="00E9266A"/>
    <w:rsid w:val="00EA3638"/>
    <w:rsid w:val="00EA6132"/>
    <w:rsid w:val="00EB0819"/>
    <w:rsid w:val="00EC756A"/>
    <w:rsid w:val="00ED5C91"/>
    <w:rsid w:val="00EE6E1B"/>
    <w:rsid w:val="00EF36FB"/>
    <w:rsid w:val="00EF490C"/>
    <w:rsid w:val="00EF63E5"/>
    <w:rsid w:val="00EF79D0"/>
    <w:rsid w:val="00F04552"/>
    <w:rsid w:val="00F24A5A"/>
    <w:rsid w:val="00F417BD"/>
    <w:rsid w:val="00F43797"/>
    <w:rsid w:val="00F4469E"/>
    <w:rsid w:val="00F564EF"/>
    <w:rsid w:val="00F57021"/>
    <w:rsid w:val="00F667BE"/>
    <w:rsid w:val="00F74C7B"/>
    <w:rsid w:val="00F774AD"/>
    <w:rsid w:val="00F8125E"/>
    <w:rsid w:val="00F953BD"/>
    <w:rsid w:val="00FA6386"/>
    <w:rsid w:val="00FB13AD"/>
    <w:rsid w:val="00FC221D"/>
    <w:rsid w:val="00FD1875"/>
    <w:rsid w:val="00FE4CF4"/>
    <w:rsid w:val="00FF17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9A937F"/>
  <w15:chartTrackingRefBased/>
  <w15:docId w15:val="{54F418C2-84ED-43AA-AE96-3263E6E83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9EF"/>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3409EF"/>
    <w:pPr>
      <w:keepNext/>
      <w:keepLines/>
      <w:spacing w:before="480" w:line="276" w:lineRule="auto"/>
      <w:outlineLvl w:val="0"/>
    </w:pPr>
    <w:rPr>
      <w:rFonts w:ascii="Cambria" w:eastAsia="SimSun" w:hAnsi="Cambria"/>
      <w:b/>
      <w:bCs/>
      <w:color w:val="365F91"/>
      <w:sz w:val="28"/>
      <w:szCs w:val="28"/>
      <w:lang w:eastAsia="zh-CN"/>
    </w:rPr>
  </w:style>
  <w:style w:type="paragraph" w:styleId="Naslov2">
    <w:name w:val="heading 2"/>
    <w:basedOn w:val="Normal"/>
    <w:next w:val="Normal"/>
    <w:link w:val="Naslov2Char"/>
    <w:uiPriority w:val="9"/>
    <w:unhideWhenUsed/>
    <w:qFormat/>
    <w:rsid w:val="0082303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409EF"/>
    <w:rPr>
      <w:rFonts w:ascii="Cambria" w:eastAsia="SimSun" w:hAnsi="Cambria" w:cs="Times New Roman"/>
      <w:b/>
      <w:bCs/>
      <w:color w:val="365F91"/>
      <w:sz w:val="28"/>
      <w:szCs w:val="28"/>
      <w:lang w:eastAsia="zh-CN"/>
    </w:rPr>
  </w:style>
  <w:style w:type="character" w:customStyle="1" w:styleId="Naslov2Char">
    <w:name w:val="Naslov 2 Char"/>
    <w:basedOn w:val="Zadanifontodlomka"/>
    <w:link w:val="Naslov2"/>
    <w:uiPriority w:val="9"/>
    <w:rsid w:val="00823030"/>
    <w:rPr>
      <w:rFonts w:asciiTheme="majorHAnsi" w:eastAsiaTheme="majorEastAsia" w:hAnsiTheme="majorHAnsi" w:cstheme="majorBidi"/>
      <w:color w:val="2E74B5" w:themeColor="accent1" w:themeShade="BF"/>
      <w:sz w:val="26"/>
      <w:szCs w:val="26"/>
      <w:lang w:eastAsia="hr-HR"/>
    </w:rPr>
  </w:style>
  <w:style w:type="paragraph" w:styleId="Bezproreda">
    <w:name w:val="No Spacing"/>
    <w:link w:val="BezproredaChar"/>
    <w:uiPriority w:val="1"/>
    <w:qFormat/>
    <w:rsid w:val="003409EF"/>
    <w:pPr>
      <w:spacing w:after="0" w:line="240" w:lineRule="auto"/>
    </w:pPr>
    <w:rPr>
      <w:rFonts w:ascii="Calibri" w:eastAsia="SimSun" w:hAnsi="Calibri" w:cs="Times New Roman"/>
      <w:lang w:val="en-US" w:eastAsia="ja-JP"/>
    </w:rPr>
  </w:style>
  <w:style w:type="character" w:customStyle="1" w:styleId="BezproredaChar">
    <w:name w:val="Bez proreda Char"/>
    <w:link w:val="Bezproreda"/>
    <w:uiPriority w:val="1"/>
    <w:rsid w:val="003409EF"/>
    <w:rPr>
      <w:rFonts w:ascii="Calibri" w:eastAsia="SimSun" w:hAnsi="Calibri" w:cs="Times New Roman"/>
      <w:lang w:val="en-US" w:eastAsia="ja-JP"/>
    </w:rPr>
  </w:style>
  <w:style w:type="paragraph" w:styleId="Podnoje">
    <w:name w:val="footer"/>
    <w:basedOn w:val="Normal"/>
    <w:link w:val="PodnojeChar"/>
    <w:uiPriority w:val="99"/>
    <w:unhideWhenUsed/>
    <w:rsid w:val="003409EF"/>
    <w:pPr>
      <w:tabs>
        <w:tab w:val="center" w:pos="4536"/>
        <w:tab w:val="right" w:pos="9072"/>
      </w:tabs>
    </w:pPr>
    <w:rPr>
      <w:rFonts w:ascii="Calibri" w:eastAsia="SimSun" w:hAnsi="Calibri"/>
      <w:sz w:val="22"/>
      <w:szCs w:val="22"/>
      <w:lang w:eastAsia="zh-CN"/>
    </w:rPr>
  </w:style>
  <w:style w:type="character" w:customStyle="1" w:styleId="PodnojeChar">
    <w:name w:val="Podnožje Char"/>
    <w:basedOn w:val="Zadanifontodlomka"/>
    <w:link w:val="Podnoje"/>
    <w:uiPriority w:val="99"/>
    <w:rsid w:val="003409EF"/>
    <w:rPr>
      <w:rFonts w:ascii="Calibri" w:eastAsia="SimSun" w:hAnsi="Calibri" w:cs="Times New Roman"/>
      <w:lang w:eastAsia="zh-CN"/>
    </w:rPr>
  </w:style>
  <w:style w:type="paragraph" w:styleId="TOCNaslov">
    <w:name w:val="TOC Heading"/>
    <w:basedOn w:val="Naslov1"/>
    <w:next w:val="Normal"/>
    <w:uiPriority w:val="39"/>
    <w:unhideWhenUsed/>
    <w:qFormat/>
    <w:rsid w:val="003409EF"/>
    <w:pPr>
      <w:spacing w:before="240" w:line="259" w:lineRule="auto"/>
      <w:outlineLvl w:val="9"/>
    </w:pPr>
    <w:rPr>
      <w:rFonts w:ascii="Calibri Light" w:eastAsia="Times New Roman" w:hAnsi="Calibri Light"/>
      <w:b w:val="0"/>
      <w:bCs w:val="0"/>
      <w:color w:val="2E74B5"/>
      <w:sz w:val="32"/>
      <w:szCs w:val="32"/>
      <w:lang w:eastAsia="hr-HR"/>
    </w:rPr>
  </w:style>
  <w:style w:type="paragraph" w:styleId="Sadraj1">
    <w:name w:val="toc 1"/>
    <w:basedOn w:val="Normal"/>
    <w:next w:val="Normal"/>
    <w:autoRedefine/>
    <w:uiPriority w:val="39"/>
    <w:rsid w:val="003409EF"/>
    <w:pPr>
      <w:tabs>
        <w:tab w:val="right" w:leader="dot" w:pos="9753"/>
      </w:tabs>
      <w:spacing w:line="276" w:lineRule="auto"/>
    </w:pPr>
  </w:style>
  <w:style w:type="paragraph" w:styleId="Sadraj2">
    <w:name w:val="toc 2"/>
    <w:basedOn w:val="Normal"/>
    <w:next w:val="Normal"/>
    <w:autoRedefine/>
    <w:uiPriority w:val="39"/>
    <w:unhideWhenUsed/>
    <w:rsid w:val="003409EF"/>
    <w:pPr>
      <w:spacing w:after="100" w:line="259" w:lineRule="auto"/>
      <w:ind w:left="220"/>
    </w:pPr>
    <w:rPr>
      <w:rFonts w:ascii="Calibri" w:hAnsi="Calibri"/>
      <w:sz w:val="22"/>
      <w:szCs w:val="22"/>
    </w:rPr>
  </w:style>
  <w:style w:type="character" w:styleId="Referencakomentara">
    <w:name w:val="annotation reference"/>
    <w:basedOn w:val="Zadanifontodlomka"/>
    <w:uiPriority w:val="99"/>
    <w:semiHidden/>
    <w:unhideWhenUsed/>
    <w:rsid w:val="003409EF"/>
    <w:rPr>
      <w:sz w:val="16"/>
      <w:szCs w:val="16"/>
    </w:rPr>
  </w:style>
  <w:style w:type="paragraph" w:styleId="Tekstkomentara">
    <w:name w:val="annotation text"/>
    <w:basedOn w:val="Normal"/>
    <w:link w:val="TekstkomentaraChar"/>
    <w:uiPriority w:val="99"/>
    <w:semiHidden/>
    <w:unhideWhenUsed/>
    <w:rsid w:val="003409EF"/>
    <w:rPr>
      <w:sz w:val="20"/>
      <w:szCs w:val="20"/>
    </w:rPr>
  </w:style>
  <w:style w:type="character" w:customStyle="1" w:styleId="TekstkomentaraChar">
    <w:name w:val="Tekst komentara Char"/>
    <w:basedOn w:val="Zadanifontodlomka"/>
    <w:link w:val="Tekstkomentara"/>
    <w:uiPriority w:val="99"/>
    <w:semiHidden/>
    <w:rsid w:val="003409EF"/>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3409EF"/>
    <w:rPr>
      <w:b/>
      <w:bCs/>
    </w:rPr>
  </w:style>
  <w:style w:type="character" w:customStyle="1" w:styleId="PredmetkomentaraChar">
    <w:name w:val="Predmet komentara Char"/>
    <w:basedOn w:val="TekstkomentaraChar"/>
    <w:link w:val="Predmetkomentara"/>
    <w:uiPriority w:val="99"/>
    <w:semiHidden/>
    <w:rsid w:val="003409EF"/>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uiPriority w:val="99"/>
    <w:semiHidden/>
    <w:unhideWhenUsed/>
    <w:rsid w:val="003409EF"/>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409EF"/>
    <w:rPr>
      <w:rFonts w:ascii="Segoe UI" w:eastAsia="Times New Roman" w:hAnsi="Segoe UI" w:cs="Segoe UI"/>
      <w:sz w:val="18"/>
      <w:szCs w:val="18"/>
      <w:lang w:eastAsia="hr-HR"/>
    </w:rPr>
  </w:style>
  <w:style w:type="character" w:styleId="Hiperveza">
    <w:name w:val="Hyperlink"/>
    <w:basedOn w:val="Zadanifontodlomka"/>
    <w:uiPriority w:val="99"/>
    <w:unhideWhenUsed/>
    <w:rsid w:val="00823030"/>
    <w:rPr>
      <w:color w:val="0563C1" w:themeColor="hyperlink"/>
      <w:u w:val="single"/>
    </w:rPr>
  </w:style>
  <w:style w:type="paragraph" w:styleId="Sadraj3">
    <w:name w:val="toc 3"/>
    <w:basedOn w:val="Normal"/>
    <w:next w:val="Normal"/>
    <w:autoRedefine/>
    <w:uiPriority w:val="39"/>
    <w:unhideWhenUsed/>
    <w:rsid w:val="00823030"/>
    <w:pPr>
      <w:spacing w:after="100" w:line="259" w:lineRule="auto"/>
      <w:ind w:left="440"/>
    </w:pPr>
    <w:rPr>
      <w:rFonts w:asciiTheme="minorHAnsi" w:eastAsiaTheme="minorEastAsia" w:hAnsiTheme="minorHAnsi"/>
      <w:sz w:val="22"/>
      <w:szCs w:val="22"/>
    </w:rPr>
  </w:style>
  <w:style w:type="paragraph" w:customStyle="1" w:styleId="Stil1">
    <w:name w:val="Stil1"/>
    <w:basedOn w:val="Naslov2"/>
    <w:link w:val="Stil1Char"/>
    <w:qFormat/>
    <w:rsid w:val="00CE2E99"/>
    <w:pPr>
      <w:numPr>
        <w:ilvl w:val="1"/>
        <w:numId w:val="1"/>
      </w:numPr>
      <w:tabs>
        <w:tab w:val="left" w:pos="993"/>
      </w:tabs>
      <w:spacing w:before="120" w:after="120" w:line="276" w:lineRule="auto"/>
      <w:jc w:val="both"/>
    </w:pPr>
    <w:rPr>
      <w:rFonts w:ascii="Calibri" w:hAnsi="Calibri"/>
      <w:b/>
      <w:color w:val="365F91"/>
    </w:rPr>
  </w:style>
  <w:style w:type="character" w:customStyle="1" w:styleId="Stil1Char">
    <w:name w:val="Stil1 Char"/>
    <w:basedOn w:val="Zadanifontodlomka"/>
    <w:link w:val="Stil1"/>
    <w:rsid w:val="00CE2E99"/>
    <w:rPr>
      <w:rFonts w:ascii="Calibri" w:eastAsiaTheme="majorEastAsia" w:hAnsi="Calibri" w:cstheme="majorBidi"/>
      <w:b/>
      <w:color w:val="365F91"/>
      <w:sz w:val="26"/>
      <w:szCs w:val="26"/>
      <w:lang w:eastAsia="hr-HR"/>
    </w:rPr>
  </w:style>
  <w:style w:type="table" w:styleId="Reetkatablice">
    <w:name w:val="Table Grid"/>
    <w:basedOn w:val="Obinatablica"/>
    <w:uiPriority w:val="39"/>
    <w:rsid w:val="00710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44058B"/>
    <w:pPr>
      <w:ind w:left="720"/>
      <w:contextualSpacing/>
    </w:pPr>
  </w:style>
  <w:style w:type="paragraph" w:styleId="Zaglavlje">
    <w:name w:val="header"/>
    <w:basedOn w:val="Normal"/>
    <w:link w:val="ZaglavljeChar"/>
    <w:uiPriority w:val="99"/>
    <w:unhideWhenUsed/>
    <w:rsid w:val="00693C7B"/>
    <w:pPr>
      <w:tabs>
        <w:tab w:val="center" w:pos="4513"/>
        <w:tab w:val="right" w:pos="9026"/>
      </w:tabs>
    </w:pPr>
  </w:style>
  <w:style w:type="character" w:customStyle="1" w:styleId="ZaglavljeChar">
    <w:name w:val="Zaglavlje Char"/>
    <w:basedOn w:val="Zadanifontodlomka"/>
    <w:link w:val="Zaglavlje"/>
    <w:uiPriority w:val="99"/>
    <w:rsid w:val="00693C7B"/>
    <w:rPr>
      <w:rFonts w:ascii="Times New Roman" w:eastAsia="Times New Roman" w:hAnsi="Times New Roman" w:cs="Times New Roman"/>
      <w:sz w:val="24"/>
      <w:szCs w:val="24"/>
      <w:lang w:eastAsia="hr-HR"/>
    </w:rPr>
  </w:style>
  <w:style w:type="character" w:styleId="SlijeenaHiperveza">
    <w:name w:val="FollowedHyperlink"/>
    <w:basedOn w:val="Zadanifontodlomka"/>
    <w:uiPriority w:val="99"/>
    <w:semiHidden/>
    <w:unhideWhenUsed/>
    <w:rsid w:val="007B3FD5"/>
    <w:rPr>
      <w:color w:val="0000FF"/>
      <w:u w:val="single"/>
    </w:rPr>
  </w:style>
  <w:style w:type="paragraph" w:customStyle="1" w:styleId="msonormal0">
    <w:name w:val="msonormal"/>
    <w:basedOn w:val="Normal"/>
    <w:rsid w:val="007B3FD5"/>
    <w:pPr>
      <w:spacing w:before="100" w:beforeAutospacing="1" w:after="100" w:afterAutospacing="1"/>
    </w:pPr>
  </w:style>
  <w:style w:type="paragraph" w:customStyle="1" w:styleId="xl71">
    <w:name w:val="xl71"/>
    <w:basedOn w:val="Normal"/>
    <w:rsid w:val="007B3FD5"/>
    <w:pPr>
      <w:pBdr>
        <w:top w:val="single" w:sz="4" w:space="0" w:color="C0C0C0"/>
        <w:left w:val="single" w:sz="4" w:space="0" w:color="000080"/>
        <w:bottom w:val="single" w:sz="4" w:space="0" w:color="C0C0C0"/>
        <w:right w:val="single" w:sz="4" w:space="0" w:color="000000"/>
      </w:pBdr>
      <w:spacing w:before="100" w:beforeAutospacing="1" w:after="100" w:afterAutospacing="1"/>
      <w:jc w:val="right"/>
      <w:textAlignment w:val="center"/>
    </w:pPr>
    <w:rPr>
      <w:rFonts w:ascii="Arial" w:hAnsi="Arial" w:cs="Arial"/>
      <w:color w:val="000000"/>
      <w:sz w:val="16"/>
      <w:szCs w:val="16"/>
    </w:rPr>
  </w:style>
  <w:style w:type="paragraph" w:customStyle="1" w:styleId="xl72">
    <w:name w:val="xl72"/>
    <w:basedOn w:val="Normal"/>
    <w:rsid w:val="007B3FD5"/>
    <w:pPr>
      <w:spacing w:before="100" w:beforeAutospacing="1" w:after="100" w:afterAutospacing="1"/>
    </w:pPr>
    <w:rPr>
      <w:rFonts w:ascii="Arial" w:hAnsi="Arial" w:cs="Arial"/>
      <w:sz w:val="18"/>
      <w:szCs w:val="18"/>
    </w:rPr>
  </w:style>
  <w:style w:type="paragraph" w:customStyle="1" w:styleId="xl73">
    <w:name w:val="xl73"/>
    <w:basedOn w:val="Normal"/>
    <w:rsid w:val="007B3FD5"/>
    <w:pPr>
      <w:spacing w:before="100" w:beforeAutospacing="1" w:after="100" w:afterAutospacing="1"/>
    </w:pPr>
    <w:rPr>
      <w:rFonts w:ascii="Arial" w:hAnsi="Arial" w:cs="Arial"/>
      <w:sz w:val="16"/>
      <w:szCs w:val="16"/>
    </w:rPr>
  </w:style>
  <w:style w:type="paragraph" w:customStyle="1" w:styleId="xl74">
    <w:name w:val="xl74"/>
    <w:basedOn w:val="Normal"/>
    <w:rsid w:val="007B3FD5"/>
    <w:pPr>
      <w:pBdr>
        <w:top w:val="single" w:sz="4" w:space="0" w:color="000000"/>
        <w:left w:val="single" w:sz="4" w:space="0" w:color="000000"/>
        <w:bottom w:val="single" w:sz="4" w:space="0" w:color="C0C0C0"/>
        <w:right w:val="single" w:sz="4" w:space="0" w:color="000080"/>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7B3FD5"/>
    <w:pPr>
      <w:pBdr>
        <w:top w:val="single" w:sz="4" w:space="0" w:color="C0C0C0"/>
        <w:left w:val="single" w:sz="4" w:space="0" w:color="000000"/>
        <w:bottom w:val="single" w:sz="4" w:space="0" w:color="C0C0C0"/>
        <w:right w:val="single" w:sz="4" w:space="0" w:color="000080"/>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7B3FD5"/>
    <w:pPr>
      <w:pBdr>
        <w:top w:val="single" w:sz="4" w:space="0" w:color="000000"/>
        <w:left w:val="single" w:sz="4" w:space="0" w:color="000080"/>
        <w:bottom w:val="single" w:sz="4" w:space="0" w:color="C0C0C0"/>
        <w:right w:val="single" w:sz="4" w:space="0" w:color="000080"/>
      </w:pBdr>
      <w:spacing w:before="100" w:beforeAutospacing="1" w:after="100" w:afterAutospacing="1"/>
      <w:jc w:val="right"/>
      <w:textAlignment w:val="center"/>
    </w:pPr>
    <w:rPr>
      <w:rFonts w:ascii="Arial" w:hAnsi="Arial" w:cs="Arial"/>
      <w:b/>
      <w:bCs/>
      <w:color w:val="000080"/>
      <w:sz w:val="16"/>
      <w:szCs w:val="16"/>
    </w:rPr>
  </w:style>
  <w:style w:type="paragraph" w:customStyle="1" w:styleId="xl77">
    <w:name w:val="xl77"/>
    <w:basedOn w:val="Normal"/>
    <w:rsid w:val="007B3FD5"/>
    <w:pPr>
      <w:pBdr>
        <w:top w:val="single" w:sz="4" w:space="0" w:color="000000"/>
        <w:left w:val="single" w:sz="4" w:space="0" w:color="000080"/>
        <w:bottom w:val="single" w:sz="4" w:space="0" w:color="C0C0C0"/>
        <w:right w:val="single" w:sz="4" w:space="0" w:color="000000"/>
      </w:pBdr>
      <w:spacing w:before="100" w:beforeAutospacing="1" w:after="100" w:afterAutospacing="1"/>
      <w:jc w:val="right"/>
      <w:textAlignment w:val="center"/>
    </w:pPr>
    <w:rPr>
      <w:rFonts w:ascii="Arial" w:hAnsi="Arial" w:cs="Arial"/>
      <w:color w:val="000000"/>
      <w:sz w:val="16"/>
      <w:szCs w:val="16"/>
    </w:rPr>
  </w:style>
  <w:style w:type="paragraph" w:customStyle="1" w:styleId="xl78">
    <w:name w:val="xl78"/>
    <w:basedOn w:val="Normal"/>
    <w:rsid w:val="007B3FD5"/>
    <w:pPr>
      <w:pBdr>
        <w:top w:val="single" w:sz="4" w:space="0" w:color="C0C0C0"/>
        <w:left w:val="single" w:sz="4" w:space="0" w:color="000080"/>
        <w:bottom w:val="single" w:sz="4" w:space="0" w:color="C0C0C0"/>
        <w:right w:val="single" w:sz="4" w:space="0" w:color="000080"/>
      </w:pBdr>
      <w:spacing w:before="100" w:beforeAutospacing="1" w:after="100" w:afterAutospacing="1"/>
      <w:jc w:val="right"/>
      <w:textAlignment w:val="center"/>
    </w:pPr>
    <w:rPr>
      <w:rFonts w:ascii="Arial" w:hAnsi="Arial" w:cs="Arial"/>
      <w:b/>
      <w:bCs/>
      <w:color w:val="000080"/>
      <w:sz w:val="16"/>
      <w:szCs w:val="16"/>
    </w:rPr>
  </w:style>
  <w:style w:type="paragraph" w:customStyle="1" w:styleId="xl79">
    <w:name w:val="xl79"/>
    <w:basedOn w:val="Normal"/>
    <w:rsid w:val="007B3FD5"/>
    <w:pPr>
      <w:pBdr>
        <w:top w:val="single" w:sz="4" w:space="0" w:color="C0C0C0"/>
        <w:left w:val="single" w:sz="4" w:space="0" w:color="000080"/>
        <w:bottom w:val="single" w:sz="4" w:space="0" w:color="000000"/>
        <w:right w:val="single" w:sz="4" w:space="0" w:color="000000"/>
      </w:pBdr>
      <w:spacing w:before="100" w:beforeAutospacing="1" w:after="100" w:afterAutospacing="1"/>
      <w:jc w:val="right"/>
      <w:textAlignment w:val="center"/>
    </w:pPr>
    <w:rPr>
      <w:rFonts w:ascii="Arial" w:hAnsi="Arial" w:cs="Arial"/>
      <w:color w:val="000000"/>
      <w:sz w:val="16"/>
      <w:szCs w:val="16"/>
    </w:rPr>
  </w:style>
  <w:style w:type="paragraph" w:customStyle="1" w:styleId="xl80">
    <w:name w:val="xl80"/>
    <w:basedOn w:val="Normal"/>
    <w:rsid w:val="007B3FD5"/>
    <w:pPr>
      <w:pBdr>
        <w:top w:val="single" w:sz="4" w:space="0" w:color="C0C0C0"/>
        <w:left w:val="single" w:sz="4" w:space="0" w:color="000080"/>
        <w:bottom w:val="single" w:sz="4" w:space="0" w:color="C0C0C0"/>
        <w:right w:val="single" w:sz="4" w:space="0" w:color="000080"/>
      </w:pBdr>
      <w:spacing w:before="100" w:beforeAutospacing="1" w:after="100" w:afterAutospacing="1"/>
      <w:textAlignment w:val="center"/>
    </w:pPr>
    <w:rPr>
      <w:rFonts w:ascii="Arial" w:hAnsi="Arial" w:cs="Arial"/>
      <w:color w:val="000000"/>
      <w:sz w:val="18"/>
      <w:szCs w:val="18"/>
    </w:rPr>
  </w:style>
  <w:style w:type="paragraph" w:customStyle="1" w:styleId="xl81">
    <w:name w:val="xl81"/>
    <w:basedOn w:val="Normal"/>
    <w:rsid w:val="007B3FD5"/>
    <w:pPr>
      <w:pBdr>
        <w:top w:val="single" w:sz="4" w:space="0" w:color="C0C0C0"/>
        <w:left w:val="single" w:sz="4" w:space="0" w:color="000000"/>
        <w:bottom w:val="single" w:sz="4" w:space="0" w:color="000000"/>
        <w:right w:val="single" w:sz="4" w:space="0" w:color="000080"/>
      </w:pBdr>
      <w:spacing w:before="100" w:beforeAutospacing="1" w:after="100" w:afterAutospacing="1"/>
      <w:textAlignment w:val="center"/>
    </w:pPr>
    <w:rPr>
      <w:rFonts w:ascii="Arial" w:hAnsi="Arial" w:cs="Arial"/>
      <w:sz w:val="18"/>
      <w:szCs w:val="18"/>
    </w:rPr>
  </w:style>
  <w:style w:type="paragraph" w:customStyle="1" w:styleId="xl82">
    <w:name w:val="xl82"/>
    <w:basedOn w:val="Normal"/>
    <w:rsid w:val="007B3FD5"/>
    <w:pPr>
      <w:pBdr>
        <w:top w:val="single" w:sz="4" w:space="0" w:color="C0C0C0"/>
        <w:left w:val="single" w:sz="4" w:space="0" w:color="000080"/>
        <w:bottom w:val="single" w:sz="4" w:space="0" w:color="000000"/>
        <w:right w:val="single" w:sz="4" w:space="0" w:color="000080"/>
      </w:pBdr>
      <w:spacing w:before="100" w:beforeAutospacing="1" w:after="100" w:afterAutospacing="1"/>
      <w:jc w:val="right"/>
      <w:textAlignment w:val="center"/>
    </w:pPr>
    <w:rPr>
      <w:rFonts w:ascii="Arial" w:hAnsi="Arial" w:cs="Arial"/>
      <w:b/>
      <w:bCs/>
      <w:color w:val="000080"/>
      <w:sz w:val="16"/>
      <w:szCs w:val="16"/>
    </w:rPr>
  </w:style>
  <w:style w:type="paragraph" w:customStyle="1" w:styleId="xl83">
    <w:name w:val="xl83"/>
    <w:basedOn w:val="Normal"/>
    <w:rsid w:val="007B3FD5"/>
    <w:pPr>
      <w:pBdr>
        <w:top w:val="single" w:sz="4" w:space="0" w:color="000000"/>
        <w:left w:val="single" w:sz="4" w:space="0" w:color="000080"/>
        <w:bottom w:val="single" w:sz="4" w:space="0" w:color="C0C0C0"/>
        <w:right w:val="single" w:sz="4" w:space="0" w:color="000080"/>
      </w:pBdr>
      <w:spacing w:before="100" w:beforeAutospacing="1" w:after="100" w:afterAutospacing="1"/>
      <w:textAlignment w:val="center"/>
    </w:pPr>
    <w:rPr>
      <w:rFonts w:ascii="Arial" w:hAnsi="Arial" w:cs="Arial"/>
      <w:b/>
      <w:bCs/>
      <w:color w:val="0C0C0C"/>
      <w:sz w:val="18"/>
      <w:szCs w:val="18"/>
    </w:rPr>
  </w:style>
  <w:style w:type="paragraph" w:customStyle="1" w:styleId="xl84">
    <w:name w:val="xl84"/>
    <w:basedOn w:val="Normal"/>
    <w:rsid w:val="007B3FD5"/>
    <w:pPr>
      <w:pBdr>
        <w:top w:val="single" w:sz="4" w:space="0" w:color="C0C0C0"/>
        <w:left w:val="single" w:sz="4" w:space="0" w:color="000080"/>
        <w:bottom w:val="single" w:sz="4" w:space="0" w:color="C0C0C0"/>
        <w:right w:val="single" w:sz="4" w:space="0" w:color="000080"/>
      </w:pBdr>
      <w:spacing w:before="100" w:beforeAutospacing="1" w:after="100" w:afterAutospacing="1"/>
      <w:textAlignment w:val="center"/>
    </w:pPr>
    <w:rPr>
      <w:rFonts w:ascii="Arial" w:hAnsi="Arial" w:cs="Arial"/>
      <w:b/>
      <w:bCs/>
      <w:color w:val="0C0C0C"/>
      <w:sz w:val="18"/>
      <w:szCs w:val="18"/>
    </w:rPr>
  </w:style>
  <w:style w:type="paragraph" w:customStyle="1" w:styleId="xl85">
    <w:name w:val="xl85"/>
    <w:basedOn w:val="Normal"/>
    <w:rsid w:val="007B3FD5"/>
    <w:pPr>
      <w:spacing w:before="100" w:beforeAutospacing="1" w:after="100" w:afterAutospacing="1"/>
      <w:textAlignment w:val="bottom"/>
    </w:pPr>
    <w:rPr>
      <w:rFonts w:ascii="Arial" w:hAnsi="Arial" w:cs="Arial"/>
      <w:sz w:val="18"/>
      <w:szCs w:val="18"/>
    </w:rPr>
  </w:style>
  <w:style w:type="paragraph" w:customStyle="1" w:styleId="xl86">
    <w:name w:val="xl86"/>
    <w:basedOn w:val="Normal"/>
    <w:rsid w:val="007B3FD5"/>
    <w:pPr>
      <w:pBdr>
        <w:top w:val="single" w:sz="4" w:space="0" w:color="000000"/>
        <w:left w:val="single" w:sz="4" w:space="0" w:color="000080"/>
        <w:bottom w:val="single" w:sz="4" w:space="0" w:color="C0C0C0"/>
        <w:right w:val="single" w:sz="4" w:space="0" w:color="000080"/>
      </w:pBdr>
      <w:spacing w:before="100" w:beforeAutospacing="1" w:after="100" w:afterAutospacing="1"/>
      <w:textAlignment w:val="center"/>
    </w:pPr>
    <w:rPr>
      <w:rFonts w:ascii="Arial" w:hAnsi="Arial" w:cs="Arial"/>
      <w:color w:val="000000"/>
      <w:sz w:val="18"/>
      <w:szCs w:val="18"/>
    </w:rPr>
  </w:style>
  <w:style w:type="paragraph" w:customStyle="1" w:styleId="xl87">
    <w:name w:val="xl87"/>
    <w:basedOn w:val="Normal"/>
    <w:rsid w:val="007B3FD5"/>
    <w:pPr>
      <w:pBdr>
        <w:top w:val="single" w:sz="4" w:space="0" w:color="C0C0C0"/>
        <w:left w:val="single" w:sz="4" w:space="0" w:color="000080"/>
        <w:bottom w:val="single" w:sz="4" w:space="0" w:color="000000"/>
        <w:right w:val="single" w:sz="4" w:space="0" w:color="000080"/>
      </w:pBdr>
      <w:spacing w:before="100" w:beforeAutospacing="1" w:after="100" w:afterAutospacing="1"/>
      <w:textAlignment w:val="center"/>
    </w:pPr>
    <w:rPr>
      <w:rFonts w:ascii="Arial" w:hAnsi="Arial" w:cs="Arial"/>
      <w:b/>
      <w:bCs/>
      <w:color w:val="000000"/>
      <w:sz w:val="18"/>
      <w:szCs w:val="18"/>
    </w:rPr>
  </w:style>
  <w:style w:type="paragraph" w:customStyle="1" w:styleId="xl88">
    <w:name w:val="xl88"/>
    <w:basedOn w:val="Normal"/>
    <w:rsid w:val="007B3FD5"/>
    <w:pPr>
      <w:spacing w:before="100" w:beforeAutospacing="1" w:after="100" w:afterAutospacing="1"/>
      <w:textAlignment w:val="bottom"/>
    </w:pPr>
    <w:rPr>
      <w:rFonts w:ascii="Arial" w:hAnsi="Arial" w:cs="Arial"/>
      <w:sz w:val="18"/>
      <w:szCs w:val="18"/>
    </w:rPr>
  </w:style>
  <w:style w:type="paragraph" w:customStyle="1" w:styleId="xl89">
    <w:name w:val="xl89"/>
    <w:basedOn w:val="Normal"/>
    <w:rsid w:val="007B3FD5"/>
    <w:pPr>
      <w:spacing w:before="100" w:beforeAutospacing="1" w:after="100" w:afterAutospacing="1"/>
      <w:jc w:val="center"/>
      <w:textAlignment w:val="center"/>
    </w:pPr>
    <w:rPr>
      <w:rFonts w:ascii="Arial" w:hAnsi="Arial" w:cs="Arial"/>
      <w:sz w:val="18"/>
      <w:szCs w:val="18"/>
    </w:rPr>
  </w:style>
  <w:style w:type="paragraph" w:customStyle="1" w:styleId="xl90">
    <w:name w:val="xl90"/>
    <w:basedOn w:val="Normal"/>
    <w:rsid w:val="007B3FD5"/>
    <w:pPr>
      <w:spacing w:before="100" w:beforeAutospacing="1" w:after="100" w:afterAutospacing="1"/>
      <w:jc w:val="center"/>
      <w:textAlignment w:val="center"/>
    </w:pPr>
    <w:rPr>
      <w:rFonts w:ascii="Arial" w:hAnsi="Arial" w:cs="Arial"/>
      <w:sz w:val="18"/>
      <w:szCs w:val="18"/>
    </w:rPr>
  </w:style>
  <w:style w:type="paragraph" w:customStyle="1" w:styleId="xl91">
    <w:name w:val="xl91"/>
    <w:basedOn w:val="Normal"/>
    <w:rsid w:val="007B3FD5"/>
    <w:pPr>
      <w:pBdr>
        <w:top w:val="single" w:sz="4" w:space="0" w:color="C0C0C0"/>
        <w:left w:val="single" w:sz="4" w:space="0" w:color="000080"/>
        <w:bottom w:val="single" w:sz="4" w:space="0" w:color="C0C0C0"/>
        <w:right w:val="single" w:sz="4" w:space="0" w:color="000080"/>
      </w:pBdr>
      <w:spacing w:before="100" w:beforeAutospacing="1" w:after="100" w:afterAutospacing="1"/>
      <w:textAlignment w:val="center"/>
    </w:pPr>
    <w:rPr>
      <w:rFonts w:ascii="Arial" w:hAnsi="Arial" w:cs="Arial"/>
      <w:color w:val="000000"/>
      <w:sz w:val="18"/>
      <w:szCs w:val="18"/>
    </w:rPr>
  </w:style>
  <w:style w:type="paragraph" w:customStyle="1" w:styleId="xl92">
    <w:name w:val="xl92"/>
    <w:basedOn w:val="Normal"/>
    <w:rsid w:val="007B3FD5"/>
    <w:pPr>
      <w:pBdr>
        <w:top w:val="single" w:sz="4" w:space="0" w:color="C0C0C0"/>
        <w:left w:val="single" w:sz="4" w:space="0" w:color="000080"/>
        <w:bottom w:val="single" w:sz="4" w:space="0" w:color="C0C0C0"/>
        <w:right w:val="single" w:sz="4" w:space="0" w:color="000080"/>
      </w:pBdr>
      <w:spacing w:before="100" w:beforeAutospacing="1" w:after="100" w:afterAutospacing="1"/>
      <w:jc w:val="right"/>
      <w:textAlignment w:val="center"/>
    </w:pPr>
    <w:rPr>
      <w:rFonts w:ascii="Arial" w:hAnsi="Arial" w:cs="Arial"/>
      <w:color w:val="000000"/>
      <w:sz w:val="16"/>
      <w:szCs w:val="16"/>
    </w:rPr>
  </w:style>
  <w:style w:type="paragraph" w:customStyle="1" w:styleId="xl93">
    <w:name w:val="xl93"/>
    <w:basedOn w:val="Normal"/>
    <w:rsid w:val="007B3FD5"/>
    <w:pPr>
      <w:pBdr>
        <w:top w:val="single" w:sz="4" w:space="0" w:color="000000"/>
        <w:left w:val="single" w:sz="4" w:space="0" w:color="000000"/>
        <w:right w:val="single" w:sz="4" w:space="0" w:color="000080"/>
      </w:pBdr>
      <w:shd w:val="clear" w:color="000000" w:fill="FFFFCC"/>
      <w:spacing w:before="100" w:beforeAutospacing="1" w:after="100" w:afterAutospacing="1"/>
      <w:jc w:val="center"/>
      <w:textAlignment w:val="center"/>
    </w:pPr>
    <w:rPr>
      <w:rFonts w:ascii="Arial" w:hAnsi="Arial" w:cs="Arial"/>
      <w:b/>
      <w:bCs/>
      <w:color w:val="000080"/>
      <w:sz w:val="18"/>
      <w:szCs w:val="18"/>
    </w:rPr>
  </w:style>
  <w:style w:type="paragraph" w:customStyle="1" w:styleId="xl94">
    <w:name w:val="xl94"/>
    <w:basedOn w:val="Normal"/>
    <w:rsid w:val="007B3FD5"/>
    <w:pPr>
      <w:pBdr>
        <w:top w:val="single" w:sz="4" w:space="0" w:color="000000"/>
        <w:left w:val="single" w:sz="4" w:space="0" w:color="000080"/>
        <w:right w:val="single" w:sz="4" w:space="0" w:color="000080"/>
      </w:pBdr>
      <w:shd w:val="clear" w:color="000000" w:fill="FFFFCC"/>
      <w:spacing w:before="100" w:beforeAutospacing="1" w:after="100" w:afterAutospacing="1"/>
      <w:jc w:val="center"/>
      <w:textAlignment w:val="center"/>
    </w:pPr>
    <w:rPr>
      <w:rFonts w:ascii="Arial" w:hAnsi="Arial" w:cs="Arial"/>
      <w:b/>
      <w:bCs/>
      <w:color w:val="000080"/>
      <w:sz w:val="18"/>
      <w:szCs w:val="18"/>
    </w:rPr>
  </w:style>
  <w:style w:type="paragraph" w:customStyle="1" w:styleId="xl95">
    <w:name w:val="xl95"/>
    <w:basedOn w:val="Normal"/>
    <w:rsid w:val="007B3FD5"/>
    <w:pPr>
      <w:pBdr>
        <w:top w:val="single" w:sz="4" w:space="0" w:color="000000"/>
        <w:left w:val="single" w:sz="4" w:space="0" w:color="000080"/>
        <w:right w:val="single" w:sz="4" w:space="0" w:color="000080"/>
      </w:pBdr>
      <w:shd w:val="clear" w:color="000000" w:fill="FFFFCC"/>
      <w:spacing w:before="100" w:beforeAutospacing="1" w:after="100" w:afterAutospacing="1"/>
      <w:jc w:val="center"/>
      <w:textAlignment w:val="center"/>
    </w:pPr>
    <w:rPr>
      <w:rFonts w:ascii="Arial" w:hAnsi="Arial" w:cs="Arial"/>
      <w:b/>
      <w:bCs/>
      <w:color w:val="000080"/>
      <w:sz w:val="18"/>
      <w:szCs w:val="18"/>
    </w:rPr>
  </w:style>
  <w:style w:type="paragraph" w:customStyle="1" w:styleId="xl96">
    <w:name w:val="xl96"/>
    <w:basedOn w:val="Normal"/>
    <w:rsid w:val="007B3FD5"/>
    <w:pPr>
      <w:pBdr>
        <w:top w:val="single" w:sz="4" w:space="0" w:color="000000"/>
        <w:left w:val="single" w:sz="4" w:space="0" w:color="000080"/>
        <w:right w:val="single" w:sz="4" w:space="0" w:color="000000"/>
      </w:pBdr>
      <w:shd w:val="clear" w:color="000000" w:fill="FFFFCC"/>
      <w:spacing w:before="100" w:beforeAutospacing="1" w:after="100" w:afterAutospacing="1"/>
      <w:jc w:val="center"/>
      <w:textAlignment w:val="center"/>
    </w:pPr>
    <w:rPr>
      <w:rFonts w:ascii="Arial" w:hAnsi="Arial" w:cs="Arial"/>
      <w:b/>
      <w:bCs/>
      <w:color w:val="000080"/>
      <w:sz w:val="18"/>
      <w:szCs w:val="18"/>
    </w:rPr>
  </w:style>
  <w:style w:type="paragraph" w:customStyle="1" w:styleId="xl97">
    <w:name w:val="xl97"/>
    <w:basedOn w:val="Normal"/>
    <w:rsid w:val="007B3FD5"/>
    <w:pPr>
      <w:pBdr>
        <w:top w:val="single" w:sz="4" w:space="0" w:color="000000"/>
        <w:left w:val="single" w:sz="4" w:space="0" w:color="000080"/>
        <w:right w:val="single" w:sz="4" w:space="0" w:color="000080"/>
      </w:pBdr>
      <w:shd w:val="clear" w:color="000000" w:fill="FFFFCC"/>
      <w:spacing w:before="100" w:beforeAutospacing="1" w:after="100" w:afterAutospacing="1"/>
      <w:jc w:val="center"/>
      <w:textAlignment w:val="center"/>
    </w:pPr>
    <w:rPr>
      <w:rFonts w:ascii="Arial" w:hAnsi="Arial" w:cs="Arial"/>
      <w:b/>
      <w:bCs/>
      <w:color w:val="000080"/>
      <w:sz w:val="18"/>
      <w:szCs w:val="18"/>
    </w:rPr>
  </w:style>
  <w:style w:type="paragraph" w:customStyle="1" w:styleId="xl98">
    <w:name w:val="xl98"/>
    <w:basedOn w:val="Normal"/>
    <w:rsid w:val="007B3FD5"/>
    <w:pPr>
      <w:pBdr>
        <w:top w:val="single" w:sz="4" w:space="0" w:color="C0C0C0"/>
        <w:left w:val="single" w:sz="4" w:space="0" w:color="000080"/>
        <w:bottom w:val="single" w:sz="4" w:space="0" w:color="000000"/>
        <w:right w:val="single" w:sz="4" w:space="0" w:color="000080"/>
      </w:pBdr>
      <w:spacing w:before="100" w:beforeAutospacing="1" w:after="100" w:afterAutospacing="1"/>
      <w:textAlignment w:val="center"/>
    </w:pPr>
    <w:rPr>
      <w:rFonts w:ascii="Arial" w:hAnsi="Arial" w:cs="Arial"/>
      <w:b/>
      <w:bCs/>
      <w:color w:val="0C0C0C"/>
      <w:sz w:val="18"/>
      <w:szCs w:val="18"/>
    </w:rPr>
  </w:style>
  <w:style w:type="paragraph" w:customStyle="1" w:styleId="xl99">
    <w:name w:val="xl99"/>
    <w:basedOn w:val="Normal"/>
    <w:rsid w:val="007B3FD5"/>
    <w:pPr>
      <w:pBdr>
        <w:top w:val="single" w:sz="4" w:space="0" w:color="000000"/>
        <w:right w:val="single" w:sz="4" w:space="0" w:color="000080"/>
      </w:pBdr>
      <w:spacing w:before="100" w:beforeAutospacing="1" w:after="100" w:afterAutospacing="1"/>
      <w:jc w:val="center"/>
      <w:textAlignment w:val="center"/>
    </w:pPr>
    <w:rPr>
      <w:rFonts w:ascii="Arial" w:hAnsi="Arial" w:cs="Arial"/>
      <w:b/>
      <w:bCs/>
      <w:color w:val="0C0C0C"/>
      <w:sz w:val="18"/>
      <w:szCs w:val="18"/>
    </w:rPr>
  </w:style>
  <w:style w:type="paragraph" w:customStyle="1" w:styleId="xl100">
    <w:name w:val="xl100"/>
    <w:basedOn w:val="Normal"/>
    <w:rsid w:val="007B3FD5"/>
    <w:pPr>
      <w:pBdr>
        <w:top w:val="single" w:sz="4" w:space="0" w:color="000000"/>
        <w:left w:val="single" w:sz="4" w:space="0" w:color="00008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sz w:val="18"/>
      <w:szCs w:val="18"/>
    </w:rPr>
  </w:style>
  <w:style w:type="paragraph" w:customStyle="1" w:styleId="xl101">
    <w:name w:val="xl101"/>
    <w:basedOn w:val="Normal"/>
    <w:rsid w:val="007B3FD5"/>
    <w:pPr>
      <w:pBdr>
        <w:top w:val="single" w:sz="4" w:space="0" w:color="000000"/>
        <w:left w:val="single" w:sz="4" w:space="0" w:color="000000"/>
        <w:bottom w:val="single" w:sz="4" w:space="0" w:color="000000"/>
        <w:right w:val="single" w:sz="4" w:space="0" w:color="000080"/>
      </w:pBdr>
      <w:spacing w:before="100" w:beforeAutospacing="1" w:after="100" w:afterAutospacing="1"/>
      <w:jc w:val="center"/>
      <w:textAlignment w:val="center"/>
    </w:pPr>
    <w:rPr>
      <w:rFonts w:ascii="Arial" w:hAnsi="Arial" w:cs="Arial"/>
      <w:b/>
      <w:bCs/>
      <w:color w:val="000000"/>
      <w:sz w:val="18"/>
      <w:szCs w:val="18"/>
    </w:rPr>
  </w:style>
  <w:style w:type="paragraph" w:customStyle="1" w:styleId="xl102">
    <w:name w:val="xl102"/>
    <w:basedOn w:val="Normal"/>
    <w:rsid w:val="007B3FD5"/>
    <w:pPr>
      <w:pBdr>
        <w:top w:val="single" w:sz="4" w:space="0" w:color="000000"/>
        <w:left w:val="single" w:sz="4" w:space="0" w:color="000080"/>
        <w:bottom w:val="single" w:sz="4" w:space="0" w:color="000000"/>
        <w:right w:val="single" w:sz="4" w:space="0" w:color="000080"/>
      </w:pBdr>
      <w:spacing w:before="100" w:beforeAutospacing="1" w:after="100" w:afterAutospacing="1"/>
      <w:jc w:val="center"/>
      <w:textAlignment w:val="center"/>
    </w:pPr>
    <w:rPr>
      <w:rFonts w:ascii="Arial" w:hAnsi="Arial" w:cs="Arial"/>
      <w:b/>
      <w:bCs/>
      <w:color w:val="000000"/>
      <w:sz w:val="18"/>
      <w:szCs w:val="18"/>
    </w:rPr>
  </w:style>
  <w:style w:type="paragraph" w:customStyle="1" w:styleId="xl103">
    <w:name w:val="xl103"/>
    <w:basedOn w:val="Normal"/>
    <w:rsid w:val="007B3FD5"/>
    <w:pPr>
      <w:spacing w:before="100" w:beforeAutospacing="1" w:after="100" w:afterAutospacing="1"/>
      <w:jc w:val="center"/>
      <w:textAlignment w:val="center"/>
    </w:pPr>
    <w:rPr>
      <w:rFonts w:ascii="Arial" w:hAnsi="Arial" w:cs="Arial"/>
      <w:b/>
      <w:bCs/>
      <w:color w:val="0C0C0C"/>
      <w:sz w:val="28"/>
      <w:szCs w:val="28"/>
    </w:rPr>
  </w:style>
  <w:style w:type="paragraph" w:customStyle="1" w:styleId="xl104">
    <w:name w:val="xl104"/>
    <w:basedOn w:val="Normal"/>
    <w:rsid w:val="007B3FD5"/>
    <w:pPr>
      <w:spacing w:before="100" w:beforeAutospacing="1" w:after="100" w:afterAutospacing="1"/>
    </w:pPr>
    <w:rPr>
      <w:rFonts w:ascii="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8044">
      <w:bodyDiv w:val="1"/>
      <w:marLeft w:val="0"/>
      <w:marRight w:val="0"/>
      <w:marTop w:val="0"/>
      <w:marBottom w:val="0"/>
      <w:divBdr>
        <w:top w:val="none" w:sz="0" w:space="0" w:color="auto"/>
        <w:left w:val="none" w:sz="0" w:space="0" w:color="auto"/>
        <w:bottom w:val="none" w:sz="0" w:space="0" w:color="auto"/>
        <w:right w:val="none" w:sz="0" w:space="0" w:color="auto"/>
      </w:divBdr>
    </w:div>
    <w:div w:id="85423250">
      <w:bodyDiv w:val="1"/>
      <w:marLeft w:val="0"/>
      <w:marRight w:val="0"/>
      <w:marTop w:val="0"/>
      <w:marBottom w:val="0"/>
      <w:divBdr>
        <w:top w:val="none" w:sz="0" w:space="0" w:color="auto"/>
        <w:left w:val="none" w:sz="0" w:space="0" w:color="auto"/>
        <w:bottom w:val="none" w:sz="0" w:space="0" w:color="auto"/>
        <w:right w:val="none" w:sz="0" w:space="0" w:color="auto"/>
      </w:divBdr>
    </w:div>
    <w:div w:id="200479067">
      <w:bodyDiv w:val="1"/>
      <w:marLeft w:val="0"/>
      <w:marRight w:val="0"/>
      <w:marTop w:val="0"/>
      <w:marBottom w:val="0"/>
      <w:divBdr>
        <w:top w:val="none" w:sz="0" w:space="0" w:color="auto"/>
        <w:left w:val="none" w:sz="0" w:space="0" w:color="auto"/>
        <w:bottom w:val="none" w:sz="0" w:space="0" w:color="auto"/>
        <w:right w:val="none" w:sz="0" w:space="0" w:color="auto"/>
      </w:divBdr>
    </w:div>
    <w:div w:id="264118056">
      <w:bodyDiv w:val="1"/>
      <w:marLeft w:val="0"/>
      <w:marRight w:val="0"/>
      <w:marTop w:val="0"/>
      <w:marBottom w:val="0"/>
      <w:divBdr>
        <w:top w:val="none" w:sz="0" w:space="0" w:color="auto"/>
        <w:left w:val="none" w:sz="0" w:space="0" w:color="auto"/>
        <w:bottom w:val="none" w:sz="0" w:space="0" w:color="auto"/>
        <w:right w:val="none" w:sz="0" w:space="0" w:color="auto"/>
      </w:divBdr>
    </w:div>
    <w:div w:id="311259628">
      <w:bodyDiv w:val="1"/>
      <w:marLeft w:val="0"/>
      <w:marRight w:val="0"/>
      <w:marTop w:val="0"/>
      <w:marBottom w:val="0"/>
      <w:divBdr>
        <w:top w:val="none" w:sz="0" w:space="0" w:color="auto"/>
        <w:left w:val="none" w:sz="0" w:space="0" w:color="auto"/>
        <w:bottom w:val="none" w:sz="0" w:space="0" w:color="auto"/>
        <w:right w:val="none" w:sz="0" w:space="0" w:color="auto"/>
      </w:divBdr>
    </w:div>
    <w:div w:id="504396069">
      <w:bodyDiv w:val="1"/>
      <w:marLeft w:val="0"/>
      <w:marRight w:val="0"/>
      <w:marTop w:val="0"/>
      <w:marBottom w:val="0"/>
      <w:divBdr>
        <w:top w:val="none" w:sz="0" w:space="0" w:color="auto"/>
        <w:left w:val="none" w:sz="0" w:space="0" w:color="auto"/>
        <w:bottom w:val="none" w:sz="0" w:space="0" w:color="auto"/>
        <w:right w:val="none" w:sz="0" w:space="0" w:color="auto"/>
      </w:divBdr>
    </w:div>
    <w:div w:id="549611878">
      <w:bodyDiv w:val="1"/>
      <w:marLeft w:val="0"/>
      <w:marRight w:val="0"/>
      <w:marTop w:val="0"/>
      <w:marBottom w:val="0"/>
      <w:divBdr>
        <w:top w:val="none" w:sz="0" w:space="0" w:color="auto"/>
        <w:left w:val="none" w:sz="0" w:space="0" w:color="auto"/>
        <w:bottom w:val="none" w:sz="0" w:space="0" w:color="auto"/>
        <w:right w:val="none" w:sz="0" w:space="0" w:color="auto"/>
      </w:divBdr>
    </w:div>
    <w:div w:id="792023202">
      <w:bodyDiv w:val="1"/>
      <w:marLeft w:val="0"/>
      <w:marRight w:val="0"/>
      <w:marTop w:val="0"/>
      <w:marBottom w:val="0"/>
      <w:divBdr>
        <w:top w:val="none" w:sz="0" w:space="0" w:color="auto"/>
        <w:left w:val="none" w:sz="0" w:space="0" w:color="auto"/>
        <w:bottom w:val="none" w:sz="0" w:space="0" w:color="auto"/>
        <w:right w:val="none" w:sz="0" w:space="0" w:color="auto"/>
      </w:divBdr>
    </w:div>
    <w:div w:id="1028869687">
      <w:bodyDiv w:val="1"/>
      <w:marLeft w:val="0"/>
      <w:marRight w:val="0"/>
      <w:marTop w:val="0"/>
      <w:marBottom w:val="0"/>
      <w:divBdr>
        <w:top w:val="none" w:sz="0" w:space="0" w:color="auto"/>
        <w:left w:val="none" w:sz="0" w:space="0" w:color="auto"/>
        <w:bottom w:val="none" w:sz="0" w:space="0" w:color="auto"/>
        <w:right w:val="none" w:sz="0" w:space="0" w:color="auto"/>
      </w:divBdr>
    </w:div>
    <w:div w:id="1321034666">
      <w:bodyDiv w:val="1"/>
      <w:marLeft w:val="0"/>
      <w:marRight w:val="0"/>
      <w:marTop w:val="0"/>
      <w:marBottom w:val="0"/>
      <w:divBdr>
        <w:top w:val="none" w:sz="0" w:space="0" w:color="auto"/>
        <w:left w:val="none" w:sz="0" w:space="0" w:color="auto"/>
        <w:bottom w:val="none" w:sz="0" w:space="0" w:color="auto"/>
        <w:right w:val="none" w:sz="0" w:space="0" w:color="auto"/>
      </w:divBdr>
    </w:div>
    <w:div w:id="1436056065">
      <w:bodyDiv w:val="1"/>
      <w:marLeft w:val="0"/>
      <w:marRight w:val="0"/>
      <w:marTop w:val="0"/>
      <w:marBottom w:val="0"/>
      <w:divBdr>
        <w:top w:val="none" w:sz="0" w:space="0" w:color="auto"/>
        <w:left w:val="none" w:sz="0" w:space="0" w:color="auto"/>
        <w:bottom w:val="none" w:sz="0" w:space="0" w:color="auto"/>
        <w:right w:val="none" w:sz="0" w:space="0" w:color="auto"/>
      </w:divBdr>
    </w:div>
    <w:div w:id="1564565572">
      <w:bodyDiv w:val="1"/>
      <w:marLeft w:val="0"/>
      <w:marRight w:val="0"/>
      <w:marTop w:val="0"/>
      <w:marBottom w:val="0"/>
      <w:divBdr>
        <w:top w:val="none" w:sz="0" w:space="0" w:color="auto"/>
        <w:left w:val="none" w:sz="0" w:space="0" w:color="auto"/>
        <w:bottom w:val="none" w:sz="0" w:space="0" w:color="auto"/>
        <w:right w:val="none" w:sz="0" w:space="0" w:color="auto"/>
      </w:divBdr>
    </w:div>
    <w:div w:id="186832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ccaa.hr/godisnja-izvjesca-26724" TargetMode="External"/><Relationship Id="rId26" Type="http://schemas.openxmlformats.org/officeDocument/2006/relationships/hyperlink" Target="https://port-osijek.hr/dokumenti" TargetMode="External"/><Relationship Id="rId39" Type="http://schemas.openxmlformats.org/officeDocument/2006/relationships/hyperlink" Target="https://www.jadrolinija.hr/hr/tvrtka-profil" TargetMode="External"/><Relationship Id="rId21" Type="http://schemas.openxmlformats.org/officeDocument/2006/relationships/hyperlink" Target="https://portsplit.hr/lucka-uprava-split/dokumenti/" TargetMode="External"/><Relationship Id="rId34" Type="http://schemas.openxmlformats.org/officeDocument/2006/relationships/hyperlink" Target="https://www.hzpp.hr/hr/tvrtka-2/planovi-i-izvjestaji" TargetMode="External"/><Relationship Id="rId42" Type="http://schemas.openxmlformats.org/officeDocument/2006/relationships/hyperlink" Target="https://corporate.aci-marinas.com/financijska-izvjesca/" TargetMode="External"/><Relationship Id="rId47" Type="http://schemas.openxmlformats.org/officeDocument/2006/relationships/hyperlink" Target="http://rijeka-airport.hr/hr/poslovna-i-financijska-izvjesca" TargetMode="External"/><Relationship Id="rId50" Type="http://schemas.openxmlformats.org/officeDocument/2006/relationships/hyperlink" Target="https://www.zlz-zagreb-airport.hr/hr/o-nama/izvje%c5%a1%c4%87a-i-publikacije.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gencija-zolpp.hr/pristup-informacijama/" TargetMode="External"/><Relationship Id="rId29" Type="http://schemas.openxmlformats.org/officeDocument/2006/relationships/hyperlink" Target="https://lucka-uprava-brod.hr/wp/?page_id=1614" TargetMode="External"/><Relationship Id="rId11" Type="http://schemas.openxmlformats.org/officeDocument/2006/relationships/footer" Target="footer2.xml"/><Relationship Id="rId24" Type="http://schemas.openxmlformats.org/officeDocument/2006/relationships/hyperlink" Target="https://www.portdubrovnik.hr/izvjesca-planovi" TargetMode="External"/><Relationship Id="rId32" Type="http://schemas.openxmlformats.org/officeDocument/2006/relationships/hyperlink" Target="https://hrvatske-ceste.hr/hr/stranice/o-nama/dokumenti/11-rezultati-poslovanja" TargetMode="External"/><Relationship Id="rId37" Type="http://schemas.openxmlformats.org/officeDocument/2006/relationships/hyperlink" Target="https://oiv.hr/hr/o-nama/izvjesca/" TargetMode="External"/><Relationship Id="rId40" Type="http://schemas.openxmlformats.org/officeDocument/2006/relationships/hyperlink" Target="https://www.plovput.hr/plovput/informacije-o-radu-drustva/informacije-o-radu-drustva-za-2023" TargetMode="External"/><Relationship Id="rId45" Type="http://schemas.openxmlformats.org/officeDocument/2006/relationships/hyperlink" Target="https://www.dbv.hr/hr/dokumenti-i-propisi/100" TargetMode="External"/><Relationship Id="rId5" Type="http://schemas.openxmlformats.org/officeDocument/2006/relationships/webSettings" Target="webSettings.xml"/><Relationship Id="rId15" Type="http://schemas.openxmlformats.org/officeDocument/2006/relationships/hyperlink" Target="https://ain.hr/o-nama/godisnja-izvjesca/" TargetMode="External"/><Relationship Id="rId23" Type="http://schemas.openxmlformats.org/officeDocument/2006/relationships/hyperlink" Target="https://www.ppa.hr/hr/financijska-izvjesca/" TargetMode="External"/><Relationship Id="rId28" Type="http://schemas.openxmlformats.org/officeDocument/2006/relationships/hyperlink" Target="https://www.luckaupravasisak.hr/dokumenti/" TargetMode="External"/><Relationship Id="rId36" Type="http://schemas.openxmlformats.org/officeDocument/2006/relationships/hyperlink" Target="https://www.crocontrol.hr/kompanija/poslovna-izvjesca-i-planovi/" TargetMode="External"/><Relationship Id="rId49" Type="http://schemas.openxmlformats.org/officeDocument/2006/relationships/hyperlink" Target="https://osijek-airport.hr/izvjesca-planovi/" TargetMode="External"/><Relationship Id="rId10" Type="http://schemas.openxmlformats.org/officeDocument/2006/relationships/image" Target="media/image2.png"/><Relationship Id="rId19" Type="http://schemas.openxmlformats.org/officeDocument/2006/relationships/hyperlink" Target="https://www.hhi.hr/dokumenti/planovi-i-izvjesca" TargetMode="External"/><Relationship Id="rId31" Type="http://schemas.openxmlformats.org/officeDocument/2006/relationships/hyperlink" Target="https://www.hac.hr/hr/o-nama/poslovne-informacije/poslovna-izvjesca" TargetMode="External"/><Relationship Id="rId44" Type="http://schemas.openxmlformats.org/officeDocument/2006/relationships/hyperlink" Target="https://www.split-airport.hr/index.php?option=com_content&amp;view=article&amp;id=242&amp;Itemid=367&amp;lang=hr"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s://www.portauthority.hr/izvjesca-i-odluke/" TargetMode="External"/><Relationship Id="rId27" Type="http://schemas.openxmlformats.org/officeDocument/2006/relationships/hyperlink" Target="http://luv.hr/?page_id=3402" TargetMode="External"/><Relationship Id="rId30" Type="http://schemas.openxmlformats.org/officeDocument/2006/relationships/hyperlink" Target="https://www.hakom.hr/hr/izvjesca-i-planovi/1918" TargetMode="External"/><Relationship Id="rId35" Type="http://schemas.openxmlformats.org/officeDocument/2006/relationships/hyperlink" Target="https://www.crs.hr/hr/pravila-i-aktivnosti-povezani-s-rh/hrb-akti-planovi-i-izvjesca/planovi-i-izvjesca" TargetMode="External"/><Relationship Id="rId43" Type="http://schemas.openxmlformats.org/officeDocument/2006/relationships/hyperlink" Target="https://www.croatiaairlines.com/hr/o-kompaniji/korporativno-upravljanje" TargetMode="External"/><Relationship Id="rId48" Type="http://schemas.openxmlformats.org/officeDocument/2006/relationships/hyperlink" Target="https://www.zadar-airport.hr/financijska-izvjesca" TargetMode="External"/><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hyperlink" Target="https://www.asz.hr/category/izvjesca-o-radu/" TargetMode="External"/><Relationship Id="rId25" Type="http://schemas.openxmlformats.org/officeDocument/2006/relationships/hyperlink" Target="https://www.portauthority-sibenik.hr/dokumenti/" TargetMode="External"/><Relationship Id="rId33" Type="http://schemas.openxmlformats.org/officeDocument/2006/relationships/hyperlink" Target="https://www.hzinfra.hr/poslovna-izvjesca/" TargetMode="External"/><Relationship Id="rId38" Type="http://schemas.openxmlformats.org/officeDocument/2006/relationships/hyperlink" Target="https://hrvatska.posta.hr/hr/kontakti-29/pristup-informacijama-10459/godisnja-izvjesca" TargetMode="External"/><Relationship Id="rId46" Type="http://schemas.openxmlformats.org/officeDocument/2006/relationships/hyperlink" Target="https://airport-pula.hr/poslovno/o-zracnoj-luci/poslovna-financijska-izvjesca/" TargetMode="External"/><Relationship Id="rId20" Type="http://schemas.openxmlformats.org/officeDocument/2006/relationships/hyperlink" Target="https://www.port-authority-zadar.hr/lucka-uprava-zadar/dokumenti/" TargetMode="External"/><Relationship Id="rId41" Type="http://schemas.openxmlformats.org/officeDocument/2006/relationships/hyperlink" Target="https://www.hzcargo.hr/izvjesca/"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645D1-726B-45BB-A04D-B66938D27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51</Pages>
  <Words>18294</Words>
  <Characters>104276</Characters>
  <Application>Microsoft Office Word</Application>
  <DocSecurity>0</DocSecurity>
  <Lines>868</Lines>
  <Paragraphs>244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Čujko</dc:creator>
  <cp:keywords/>
  <dc:description/>
  <cp:lastModifiedBy>Sanja Krasić</cp:lastModifiedBy>
  <cp:revision>290</cp:revision>
  <cp:lastPrinted>2025-01-21T08:58:00Z</cp:lastPrinted>
  <dcterms:created xsi:type="dcterms:W3CDTF">2025-01-17T11:25:00Z</dcterms:created>
  <dcterms:modified xsi:type="dcterms:W3CDTF">2026-02-10T11:10:00Z</dcterms:modified>
</cp:coreProperties>
</file>